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CE480D3">
      <w:pPr>
        <w:widowControl/>
        <w:jc w:val="left"/>
        <w:rPr>
          <w:rFonts w:hint="eastAsia" w:ascii="黑体" w:hAnsi="黑体" w:eastAsia="黑体" w:cs="Calibri"/>
          <w:sz w:val="28"/>
          <w:szCs w:val="28"/>
        </w:rPr>
      </w:pPr>
      <w:r>
        <w:rPr>
          <w:rFonts w:hint="eastAsia" w:ascii="黑体" w:hAnsi="黑体" w:eastAsia="黑体" w:cs="Calibri"/>
          <w:sz w:val="28"/>
          <w:szCs w:val="28"/>
        </w:rPr>
        <w:t>附件1</w:t>
      </w:r>
    </w:p>
    <w:p w14:paraId="430949C5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  <w:lang w:val="en-US" w:eastAsia="zh-CN"/>
        </w:rPr>
        <w:t>2025年浙江工商大学</w:t>
      </w:r>
      <w:r>
        <w:rPr>
          <w:rFonts w:hint="eastAsia" w:ascii="方正小标宋简体" w:hAnsi="new" w:eastAsia="方正小标宋简体" w:cs="仿宋_GB2312"/>
          <w:sz w:val="32"/>
          <w:szCs w:val="32"/>
        </w:rPr>
        <w:t>科学道德和学风建设论坛</w:t>
      </w:r>
    </w:p>
    <w:p w14:paraId="6212A488">
      <w:pPr>
        <w:widowControl/>
        <w:spacing w:line="560" w:lineRule="exact"/>
        <w:jc w:val="center"/>
        <w:rPr>
          <w:rFonts w:hint="eastAsia" w:ascii="方正小标宋简体" w:hAnsi="new" w:eastAsia="方正小标宋简体" w:cs="仿宋_GB2312"/>
          <w:sz w:val="32"/>
          <w:szCs w:val="32"/>
        </w:rPr>
      </w:pPr>
      <w:r>
        <w:rPr>
          <w:rFonts w:hint="eastAsia" w:ascii="方正小标宋简体" w:hAnsi="new" w:eastAsia="方正小标宋简体" w:cs="仿宋_GB2312"/>
          <w:sz w:val="32"/>
          <w:szCs w:val="32"/>
        </w:rPr>
        <w:t>学术论文选题及要求</w:t>
      </w:r>
    </w:p>
    <w:p w14:paraId="21607248">
      <w:pPr>
        <w:pStyle w:val="2"/>
        <w:adjustRightInd w:val="0"/>
        <w:snapToGrid w:val="0"/>
        <w:spacing w:line="380" w:lineRule="exact"/>
        <w:ind w:left="220" w:firstLine="420"/>
        <w:rPr>
          <w:rFonts w:ascii="new" w:hAnsi="new" w:eastAsia="黑体" w:cs="仿宋_GB2312"/>
          <w:lang w:eastAsia="zh-CN"/>
        </w:rPr>
      </w:pPr>
      <w:r>
        <w:rPr>
          <w:rFonts w:hint="eastAsia" w:ascii="new" w:hAnsi="黑体" w:eastAsia="黑体" w:cs="仿宋_GB2312"/>
        </w:rPr>
        <w:t>一、参考选题</w:t>
      </w:r>
    </w:p>
    <w:p w14:paraId="411368B6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（一）弘扬科学家精神专题研究</w:t>
      </w:r>
    </w:p>
    <w:p w14:paraId="235331FE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1.习近平总书记关于科学家精神的重要论述研究</w:t>
      </w:r>
    </w:p>
    <w:p w14:paraId="00F7C5CF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2.关于科技、教育、人才的论述研究</w:t>
      </w:r>
    </w:p>
    <w:p w14:paraId="59D38000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3.科学家精神与新质生产力培养研究</w:t>
      </w:r>
    </w:p>
    <w:p w14:paraId="5ECC6351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4.科学家精神的时代意义与内涵建设研究</w:t>
      </w:r>
    </w:p>
    <w:p w14:paraId="4F4FE961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5.科学家精神与建设上海人才教育高地研究</w:t>
      </w:r>
    </w:p>
    <w:p w14:paraId="617B4044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6.科学家精神促进科技自立自强研究</w:t>
      </w:r>
    </w:p>
    <w:p w14:paraId="603B2D18">
      <w:pPr>
        <w:pStyle w:val="2"/>
        <w:adjustRightInd w:val="0"/>
        <w:snapToGrid w:val="0"/>
        <w:spacing w:line="380" w:lineRule="exact"/>
        <w:ind w:firstLine="480" w:firstLineChars="200"/>
        <w:rPr>
          <w:rFonts w:ascii="仿宋_GB2312" w:hAnsi="new" w:eastAsia="仿宋_GB2312" w:cs="仿宋_GB2312"/>
          <w:lang w:eastAsia="zh-CN"/>
        </w:rPr>
      </w:pPr>
      <w:r>
        <w:rPr>
          <w:rFonts w:hint="eastAsia" w:ascii="仿宋_GB2312" w:hAnsi="new" w:eastAsia="仿宋_GB2312" w:cs="仿宋_GB2312"/>
        </w:rPr>
        <w:t>7.新时代研究生群体科学家精神培育研究</w:t>
      </w:r>
    </w:p>
    <w:p w14:paraId="0BFA6244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8.科学家精神融入卓越工程师培养路径研究</w:t>
      </w:r>
    </w:p>
    <w:p w14:paraId="7B673373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（二）研究生学风建设、学风传承专题研究</w:t>
      </w:r>
    </w:p>
    <w:p w14:paraId="1FBE2CA6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1.</w:t>
      </w:r>
      <w:r>
        <w:rPr>
          <w:rFonts w:hint="eastAsia" w:ascii="仿宋_GB2312" w:hAnsi="new" w:eastAsia="仿宋_GB2312" w:cs="仿宋_GB2312"/>
          <w:lang w:eastAsia="zh-CN"/>
        </w:rPr>
        <w:t xml:space="preserve"> </w:t>
      </w:r>
      <w:r>
        <w:rPr>
          <w:rFonts w:hint="eastAsia" w:ascii="仿宋_GB2312" w:hAnsi="new" w:eastAsia="仿宋_GB2312" w:cs="仿宋_GB2312"/>
        </w:rPr>
        <w:t xml:space="preserve">研究生学风建设问题现状及对策研究 </w:t>
      </w:r>
    </w:p>
    <w:p w14:paraId="60EF7E79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2. 高校党建与研究生学风建设协调建设研究</w:t>
      </w:r>
    </w:p>
    <w:p w14:paraId="05E745E3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3. 研究生学风建设长效机制研究</w:t>
      </w:r>
    </w:p>
    <w:p w14:paraId="01F89BBF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4. 研究生学风建设的数字化赋能建设研究</w:t>
      </w:r>
    </w:p>
    <w:p w14:paraId="1D6BE9E1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5. 辅导员工作视角下研究生学风建设研究</w:t>
      </w:r>
    </w:p>
    <w:p w14:paraId="6EE33B11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6. 研究生分类培养视角下学风建设多元化路径研究</w:t>
      </w:r>
    </w:p>
    <w:p w14:paraId="1394AFB6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7. 研究生学术道德建设长效机制研究</w:t>
      </w:r>
    </w:p>
    <w:p w14:paraId="2BF3C947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（三）学术规范与研究生导学关系专题研究</w:t>
      </w:r>
    </w:p>
    <w:p w14:paraId="54A8A55F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1.“导学思政”视域下研究生学风建设实践研究</w:t>
      </w:r>
    </w:p>
    <w:p w14:paraId="22122519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2. 学术规范与和谐导学关系的构建路径研究</w:t>
      </w:r>
    </w:p>
    <w:p w14:paraId="26B95CE1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  <w:lang w:eastAsia="zh-CN"/>
        </w:rPr>
        <w:t>3</w:t>
      </w:r>
      <w:r>
        <w:rPr>
          <w:rFonts w:hint="eastAsia" w:ascii="仿宋_GB2312" w:hAnsi="new" w:eastAsia="仿宋_GB2312" w:cs="仿宋_GB2312"/>
        </w:rPr>
        <w:t>.</w:t>
      </w:r>
      <w:r>
        <w:rPr>
          <w:rFonts w:hint="eastAsia" w:ascii="仿宋_GB2312" w:hAnsi="new" w:eastAsia="仿宋_GB2312" w:cs="仿宋_GB2312"/>
          <w:lang w:eastAsia="zh-CN"/>
        </w:rPr>
        <w:t xml:space="preserve"> </w:t>
      </w:r>
      <w:r>
        <w:rPr>
          <w:rFonts w:hint="eastAsia" w:ascii="仿宋_GB2312" w:hAnsi="new" w:eastAsia="仿宋_GB2312" w:cs="仿宋_GB2312"/>
        </w:rPr>
        <w:t>学术规范</w:t>
      </w:r>
      <w:r>
        <w:rPr>
          <w:rFonts w:hint="eastAsia" w:ascii="仿宋_GB2312" w:hAnsi="new" w:eastAsia="仿宋_GB2312" w:cs="仿宋_GB2312"/>
          <w:lang w:eastAsia="zh-CN"/>
        </w:rPr>
        <w:t>与</w:t>
      </w:r>
      <w:r>
        <w:rPr>
          <w:rFonts w:hint="eastAsia" w:ascii="仿宋_GB2312" w:hAnsi="new" w:eastAsia="仿宋_GB2312" w:cs="仿宋_GB2312"/>
        </w:rPr>
        <w:t>研究生教育中导学关系发展及趋势研究</w:t>
      </w:r>
    </w:p>
    <w:p w14:paraId="0A7517F7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  <w:lang w:eastAsia="zh-CN"/>
        </w:rPr>
        <w:t>4</w:t>
      </w:r>
      <w:r>
        <w:rPr>
          <w:rFonts w:hint="eastAsia" w:ascii="仿宋_GB2312" w:hAnsi="new" w:eastAsia="仿宋_GB2312" w:cs="仿宋_GB2312"/>
        </w:rPr>
        <w:t>. 学术规范视域下高校导学关系现状、影响因素及对策研究</w:t>
      </w:r>
    </w:p>
    <w:p w14:paraId="750CB045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5. 学术规范视域下导学关系评价模型及其提升建议研究</w:t>
      </w:r>
    </w:p>
    <w:p w14:paraId="512502F5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new" w:eastAsia="仿宋_GB2312" w:cs="仿宋_GB2312"/>
        </w:rPr>
      </w:pPr>
      <w:r>
        <w:rPr>
          <w:rFonts w:hint="eastAsia" w:ascii="仿宋_GB2312" w:hAnsi="new" w:eastAsia="仿宋_GB2312" w:cs="仿宋_GB2312"/>
        </w:rPr>
        <w:t>6. 以卓越工程师培养为导向的校企双导师协同育人机制研究</w:t>
      </w:r>
    </w:p>
    <w:p w14:paraId="3B316E0C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楷体_GB2312" w:hAnsi="楷体_GB2312" w:eastAsia="楷体_GB2312" w:cs="楷体_GB2312"/>
        </w:rPr>
      </w:pPr>
      <w:r>
        <w:rPr>
          <w:rFonts w:hint="eastAsia" w:ascii="楷体_GB2312" w:hAnsi="楷体_GB2312" w:eastAsia="楷体_GB2312" w:cs="楷体_GB2312"/>
        </w:rPr>
        <w:t>（四）与论坛主题相关的其他选题</w:t>
      </w:r>
    </w:p>
    <w:p w14:paraId="642175E4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黑体" w:cs="仿宋_GB2312"/>
        </w:rPr>
      </w:pPr>
      <w:r>
        <w:rPr>
          <w:rFonts w:hint="eastAsia" w:ascii="new" w:hAnsi="黑体" w:eastAsia="黑体" w:cs="仿宋_GB2312"/>
        </w:rPr>
        <w:t>二、基本结构</w:t>
      </w:r>
    </w:p>
    <w:p w14:paraId="15BBF41E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new" w:hAnsi="new" w:eastAsia="仿宋_GB2312" w:cs="仿宋_GB2312"/>
        </w:rPr>
        <w:t>本次论文结构包括前置部分、主体部分和结尾部分。</w:t>
      </w:r>
    </w:p>
    <w:p w14:paraId="5BE6A9C9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黑体" w:cs="仿宋_GB2312"/>
        </w:rPr>
      </w:pPr>
      <w:r>
        <w:rPr>
          <w:rFonts w:hint="eastAsia" w:ascii="new" w:hAnsi="黑体" w:eastAsia="黑体" w:cs="仿宋_GB2312"/>
        </w:rPr>
        <w:t>三、前置部分</w:t>
      </w:r>
    </w:p>
    <w:p w14:paraId="0A3D1D6F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标  题：字数不超过20字</w:t>
      </w:r>
    </w:p>
    <w:p w14:paraId="090830B8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摘  要：字数一般为200字左右</w:t>
      </w:r>
    </w:p>
    <w:p w14:paraId="53D3D314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仿宋_GB2312" w:hAnsi="仿宋_GB2312" w:eastAsia="仿宋_GB2312" w:cs="仿宋_GB2312"/>
        </w:rPr>
        <w:t>关键词</w:t>
      </w:r>
      <w:r>
        <w:rPr>
          <w:rFonts w:hint="eastAsia" w:ascii="仿宋_GB2312" w:hAnsi="仿宋_GB2312" w:eastAsia="仿宋_GB2312" w:cs="仿宋_GB2312"/>
          <w:lang w:eastAsia="zh-CN"/>
        </w:rPr>
        <w:t>：</w:t>
      </w:r>
      <w:r>
        <w:rPr>
          <w:rFonts w:hint="eastAsia" w:ascii="仿宋_GB2312" w:hAnsi="仿宋_GB2312" w:eastAsia="仿宋_GB2312" w:cs="仿宋_GB2312"/>
        </w:rPr>
        <w:t>3至7个</w:t>
      </w:r>
    </w:p>
    <w:p w14:paraId="7BE03E9E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黑体" w:cs="仿宋_GB2312"/>
        </w:rPr>
      </w:pPr>
      <w:r>
        <w:rPr>
          <w:rFonts w:hint="eastAsia" w:ascii="new" w:hAnsi="黑体" w:eastAsia="黑体" w:cs="仿宋_GB2312"/>
        </w:rPr>
        <w:t>四、主体部分</w:t>
      </w:r>
    </w:p>
    <w:p w14:paraId="3E261BBE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论文主体论述部分应层次分明、数据可靠、图表规范，文字简炼、说明透彻、推理严谨、立论正确。文中如出现非通用性的新名词、新术语，</w:t>
      </w:r>
      <w:r>
        <w:rPr>
          <w:rFonts w:hint="eastAsia" w:ascii="仿宋_GB2312" w:hAnsi="仿宋_GB2312" w:eastAsia="仿宋_GB2312" w:cs="仿宋_GB2312"/>
          <w:lang w:eastAsia="zh-CN"/>
        </w:rPr>
        <w:t>需</w:t>
      </w:r>
      <w:r>
        <w:rPr>
          <w:rFonts w:hint="eastAsia" w:ascii="仿宋_GB2312" w:hAnsi="仿宋_GB2312" w:eastAsia="仿宋_GB2312" w:cs="仿宋_GB2312"/>
        </w:rPr>
        <w:t>作相应解释。篇幅控制在</w:t>
      </w:r>
      <w:r>
        <w:rPr>
          <w:rFonts w:hint="eastAsia" w:ascii="仿宋_GB2312" w:hAnsi="仿宋_GB2312" w:eastAsia="仿宋_GB2312" w:cs="仿宋_GB2312"/>
          <w:lang w:val="en-US" w:eastAsia="zh-CN"/>
        </w:rPr>
        <w:t>5000</w:t>
      </w:r>
      <w:r>
        <w:rPr>
          <w:rFonts w:hint="eastAsia" w:ascii="仿宋_GB2312" w:hAnsi="仿宋_GB2312" w:eastAsia="仿宋_GB2312" w:cs="仿宋_GB2312"/>
        </w:rPr>
        <w:t>字以内。</w:t>
      </w:r>
    </w:p>
    <w:p w14:paraId="13E42557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黑体" w:eastAsia="黑体" w:cs="仿宋_GB2312"/>
        </w:rPr>
      </w:pPr>
      <w:r>
        <w:rPr>
          <w:rFonts w:hint="eastAsia" w:ascii="new" w:hAnsi="黑体" w:eastAsia="黑体" w:cs="仿宋_GB2312"/>
        </w:rPr>
        <w:t>五、参考文献</w:t>
      </w:r>
    </w:p>
    <w:p w14:paraId="4F2AA134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遵照国家标准《信息与文献参考文献著录规则》（GB/T7714-2015）执行。所有被引用文献均要列入参考文献中，编排格式如下：</w:t>
      </w:r>
    </w:p>
    <w:p w14:paraId="57E84961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专著：[序号]作者.题名[文献类型标志].出版地：出版者，出版年份：起止页码</w:t>
      </w:r>
    </w:p>
    <w:p w14:paraId="24615FA2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学术期刊：[序号]作者.文献题名[文献类型标志].刊名.年，卷（期）号，起止页码</w:t>
      </w:r>
    </w:p>
    <w:p w14:paraId="1F306578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学位论文：[序号]作者.论文题目.[博（硕）士学位论文] 授予单位所在地：授予单位，授予年份，起止页码</w:t>
      </w:r>
    </w:p>
    <w:p w14:paraId="607E2975">
      <w:pPr>
        <w:pStyle w:val="2"/>
        <w:adjustRightInd w:val="0"/>
        <w:snapToGrid w:val="0"/>
        <w:spacing w:line="380" w:lineRule="exact"/>
        <w:ind w:firstLine="48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电子文献：[序号]作者.题名.出版地，出版日期.获取和访问路径.</w:t>
      </w:r>
    </w:p>
    <w:p w14:paraId="16A2C530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仿宋_GB2312" w:cs="仿宋_GB2312"/>
        </w:rPr>
      </w:pPr>
      <w:r>
        <w:rPr>
          <w:rFonts w:hint="eastAsia" w:ascii="仿宋_GB2312" w:hAnsi="仿宋_GB2312" w:eastAsia="仿宋_GB2312" w:cs="仿宋_GB2312"/>
        </w:rPr>
        <w:t>报纸文章：[序号]主要责任者.文献题名[N].报纸名,出版日期</w:t>
      </w:r>
    </w:p>
    <w:p w14:paraId="03855AFB">
      <w:pPr>
        <w:pStyle w:val="2"/>
        <w:adjustRightInd w:val="0"/>
        <w:snapToGrid w:val="0"/>
        <w:spacing w:line="380" w:lineRule="exact"/>
        <w:ind w:firstLine="480" w:firstLineChars="200"/>
        <w:rPr>
          <w:rFonts w:ascii="new" w:hAnsi="new" w:eastAsia="黑体" w:cs="仿宋_GB2312"/>
        </w:rPr>
      </w:pPr>
      <w:r>
        <w:rPr>
          <w:rFonts w:hint="eastAsia" w:ascii="new" w:hAnsi="黑体" w:eastAsia="黑体" w:cs="仿宋_GB2312"/>
        </w:rPr>
        <w:t>六、格式要求</w:t>
      </w:r>
    </w:p>
    <w:p w14:paraId="6B444077">
      <w:pPr>
        <w:ind w:firstLine="480" w:firstLineChars="200"/>
        <w:rPr>
          <w:rFonts w:hint="eastAsia" w:ascii="仿宋_GB2312" w:hAnsi="仿宋_GB2312" w:eastAsia="仿宋_GB2312" w:cs="仿宋_GB2312"/>
          <w:sz w:val="24"/>
          <w:szCs w:val="24"/>
        </w:rPr>
      </w:pPr>
      <w:r>
        <w:rPr>
          <w:rFonts w:hint="eastAsia" w:ascii="仿宋_GB2312" w:hAnsi="仿宋_GB2312" w:eastAsia="仿宋_GB2312" w:cs="仿宋_GB2312"/>
          <w:sz w:val="24"/>
          <w:szCs w:val="24"/>
        </w:rPr>
        <w:t>一级标题用3号黑体；二级标题用4号黑体；三级标题用小4号黑体。正文内容用小4号宋体，1.5倍行间距。参考文献用5号宋体，位于文章结尾。文章标题下方注明作者信息（五号宋体）：姓名、学校院系、联系手机号、电子邮箱。来稿要求为word文档，文件名用“论文题目+姓名+</w:t>
      </w:r>
      <w:r>
        <w:rPr>
          <w:rFonts w:hint="eastAsia" w:ascii="仿宋_GB2312" w:hAnsi="仿宋_GB2312" w:eastAsia="仿宋_GB2312" w:cs="仿宋_GB2312"/>
          <w:sz w:val="24"/>
          <w:szCs w:val="24"/>
          <w:lang w:val="en-US" w:eastAsia="zh-CN"/>
        </w:rPr>
        <w:t>学院（简称）</w:t>
      </w:r>
      <w:r>
        <w:rPr>
          <w:rFonts w:hint="eastAsia" w:ascii="仿宋_GB2312" w:hAnsi="仿宋_GB2312" w:eastAsia="仿宋_GB2312" w:cs="仿宋_GB2312"/>
          <w:sz w:val="24"/>
          <w:szCs w:val="24"/>
        </w:rPr>
        <w:t>+手机号”。</w:t>
      </w:r>
    </w:p>
    <w:p w14:paraId="7DFC28AA">
      <w:pPr>
        <w:rPr>
          <w:rFonts w:hint="eastAsia" w:ascii="仿宋_GB2312" w:hAnsi="仿宋_GB2312" w:eastAsia="仿宋_GB2312" w:cs="仿宋_GB2312"/>
          <w:sz w:val="24"/>
          <w:szCs w:val="24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new">
    <w:altName w:val="Segoe Print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7164AD2"/>
    <w:rsid w:val="2B69373F"/>
    <w:rsid w:val="37164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ascii="Times New Roman" w:hAnsi="Times New Roman"/>
      <w:sz w:val="24"/>
      <w:szCs w:val="24"/>
    </w:rPr>
  </w:style>
  <w:style w:type="paragraph" w:styleId="3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6">
    <w:name w:val="page number"/>
    <w:basedOn w:val="5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1041</Words>
  <Characters>1094</Characters>
  <Lines>0</Lines>
  <Paragraphs>0</Paragraphs>
  <TotalTime>2</TotalTime>
  <ScaleCrop>false</ScaleCrop>
  <LinksUpToDate>false</LinksUpToDate>
  <CharactersWithSpaces>1114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2025-05-12T01:22:00Z</dcterms:created>
  <dc:creator>Vincent</dc:creator>
  <cp:lastModifiedBy>Vincent</cp:lastModifiedBy>
  <dcterms:modified xsi:type="dcterms:W3CDTF">2025-05-12T01:57:45Z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6D21916C8B1840A489C41254711E250D_11</vt:lpwstr>
  </property>
  <property fmtid="{D5CDD505-2E9C-101B-9397-08002B2CF9AE}" pid="4" name="KSOTemplateDocerSaveRecord">
    <vt:lpwstr>eyJoZGlkIjoiZmJjMmNjYmFjNDkyNjlhNDE3YWViOTIwYzViZTllMjYiLCJ1c2VySWQiOiIyMDcyMDU2ODUifQ==</vt:lpwstr>
  </property>
</Properties>
</file>