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8306"/>
        </w:tabs>
        <w:jc w:val="center"/>
        <w:rPr>
          <w:rFonts w:eastAsia="黑体"/>
        </w:rPr>
      </w:pPr>
      <w:r>
        <w:rPr>
          <w:rFonts w:hint="eastAsia" w:ascii="黑体" w:hAnsi="黑体" w:eastAsia="黑体"/>
          <w:b/>
          <w:bCs/>
          <w:color w:val="000000"/>
          <w:sz w:val="28"/>
          <w:szCs w:val="28"/>
          <w:shd w:val="clear" w:color="auto" w:fill="FFFFFF"/>
        </w:rPr>
        <w:t>浙江工商大学2021级研究生培养方案修（制）订指南</w:t>
      </w:r>
    </w:p>
    <w:p>
      <w:pPr>
        <w:pStyle w:val="6"/>
        <w:widowControl/>
        <w:spacing w:beforeAutospacing="0" w:afterAutospacing="0" w:line="360" w:lineRule="auto"/>
        <w:ind w:firstLine="480" w:firstLineChars="200"/>
        <w:rPr>
          <w:rFonts w:hint="eastAsia" w:ascii="仿宋" w:hAnsi="仿宋" w:eastAsia="仿宋" w:cs="仿宋"/>
          <w:b w:val="0"/>
          <w:bCs w:val="0"/>
          <w:color w:val="auto"/>
          <w:lang w:val="en-US" w:eastAsia="zh-CN"/>
        </w:rPr>
      </w:pPr>
      <w:r>
        <w:rPr>
          <w:rFonts w:hint="eastAsia" w:ascii="仿宋" w:hAnsi="仿宋" w:eastAsia="仿宋" w:cs="仿宋"/>
          <w:b w:val="0"/>
          <w:bCs w:val="0"/>
          <w:color w:val="auto"/>
          <w:lang w:val="en-US" w:eastAsia="zh-CN"/>
        </w:rPr>
        <w:t>为贯彻落实党的教育方针，全面落实立德树人根本任务，实现学校奋力建设立足浙江、服务国家、贡献人类的卓越大学的发展目标，不断完善研究生教育卓越发展的人才培养体系，学校决定开展2021级研究生培养方案修（订）工作。</w:t>
      </w:r>
    </w:p>
    <w:p>
      <w:pPr>
        <w:pStyle w:val="6"/>
        <w:widowControl/>
        <w:numPr>
          <w:ilvl w:val="0"/>
          <w:numId w:val="1"/>
        </w:numPr>
        <w:spacing w:beforeAutospacing="0" w:afterAutospacing="0" w:line="540" w:lineRule="atLeast"/>
        <w:rPr>
          <w:rFonts w:hint="eastAsia" w:ascii="仿宋" w:hAnsi="仿宋" w:eastAsia="仿宋" w:cs="仿宋"/>
          <w:b/>
          <w:bCs/>
          <w:color w:val="auto"/>
          <w:lang w:eastAsia="zh-CN"/>
        </w:rPr>
      </w:pPr>
      <w:r>
        <w:rPr>
          <w:rFonts w:hint="eastAsia" w:ascii="仿宋" w:hAnsi="仿宋" w:eastAsia="仿宋" w:cs="仿宋"/>
          <w:b/>
          <w:bCs/>
          <w:color w:val="auto"/>
          <w:lang w:eastAsia="zh-CN"/>
        </w:rPr>
        <w:t>指导思想</w:t>
      </w:r>
    </w:p>
    <w:p>
      <w:pPr>
        <w:pStyle w:val="6"/>
        <w:widowControl/>
        <w:spacing w:beforeAutospacing="0" w:afterAutospacing="0" w:line="360" w:lineRule="auto"/>
        <w:ind w:firstLine="480"/>
        <w:rPr>
          <w:rFonts w:hint="eastAsia" w:ascii="仿宋" w:hAnsi="仿宋" w:eastAsia="仿宋" w:cs="仿宋"/>
          <w:color w:val="auto"/>
        </w:rPr>
      </w:pPr>
      <w:r>
        <w:rPr>
          <w:rFonts w:hint="eastAsia" w:ascii="仿宋" w:hAnsi="仿宋" w:eastAsia="仿宋" w:cs="仿宋"/>
          <w:color w:val="auto"/>
          <w:lang w:eastAsia="zh-CN"/>
        </w:rPr>
        <w:t>全面贯彻</w:t>
      </w:r>
      <w:r>
        <w:rPr>
          <w:rFonts w:hint="eastAsia" w:ascii="仿宋" w:hAnsi="仿宋" w:eastAsia="仿宋" w:cs="仿宋"/>
          <w:color w:val="auto"/>
        </w:rPr>
        <w:t>全国研究生教育“立德树人、服务需求、提高质量、追求卓越”16字方针。坚持育人为本和需求导向，</w:t>
      </w:r>
      <w:r>
        <w:rPr>
          <w:rFonts w:hint="eastAsia" w:ascii="仿宋" w:hAnsi="仿宋" w:eastAsia="仿宋" w:cs="仿宋"/>
          <w:color w:val="auto"/>
          <w:lang w:eastAsia="zh-CN"/>
        </w:rPr>
        <w:t>深化研究生教育内涵假设，</w:t>
      </w:r>
      <w:r>
        <w:rPr>
          <w:rFonts w:hint="eastAsia" w:ascii="仿宋" w:hAnsi="仿宋" w:eastAsia="仿宋" w:cs="仿宋"/>
          <w:color w:val="auto"/>
        </w:rPr>
        <w:t>完善人才培养体系，坚持创新引领，增强研究生使命感责任感，全面提升研究生知识创新、实践创新能力、人文素质和科学道德修养。</w:t>
      </w:r>
    </w:p>
    <w:p>
      <w:pPr>
        <w:pStyle w:val="6"/>
        <w:widowControl/>
        <w:spacing w:beforeAutospacing="0" w:afterAutospacing="0" w:line="360" w:lineRule="auto"/>
        <w:rPr>
          <w:rFonts w:ascii="仿宋" w:hAnsi="仿宋" w:eastAsia="仿宋" w:cs="仿宋"/>
          <w:b/>
          <w:bCs/>
          <w:color w:val="auto"/>
        </w:rPr>
      </w:pPr>
      <w:r>
        <w:rPr>
          <w:rFonts w:hint="eastAsia" w:ascii="仿宋" w:hAnsi="仿宋" w:eastAsia="仿宋" w:cs="仿宋"/>
          <w:b/>
          <w:bCs/>
          <w:color w:val="auto"/>
        </w:rPr>
        <w:t>二、</w:t>
      </w:r>
      <w:r>
        <w:rPr>
          <w:rFonts w:hint="eastAsia" w:ascii="仿宋" w:hAnsi="仿宋" w:eastAsia="仿宋" w:cs="仿宋"/>
          <w:b/>
          <w:bCs/>
          <w:color w:val="auto"/>
          <w:lang w:eastAsia="zh-CN"/>
        </w:rPr>
        <w:t>基本</w:t>
      </w:r>
      <w:r>
        <w:rPr>
          <w:rFonts w:hint="eastAsia" w:ascii="仿宋" w:hAnsi="仿宋" w:eastAsia="仿宋" w:cs="仿宋"/>
          <w:b/>
          <w:bCs/>
          <w:color w:val="auto"/>
        </w:rPr>
        <w:t>原则</w:t>
      </w:r>
    </w:p>
    <w:p>
      <w:pPr>
        <w:pStyle w:val="6"/>
        <w:widowControl/>
        <w:spacing w:beforeAutospacing="0" w:afterAutospacing="0" w:line="360" w:lineRule="auto"/>
        <w:ind w:firstLine="480"/>
        <w:rPr>
          <w:rFonts w:hint="eastAsia" w:ascii="仿宋" w:hAnsi="仿宋" w:eastAsia="仿宋" w:cs="仿宋"/>
          <w:color w:val="auto"/>
          <w:lang w:eastAsia="zh-CN"/>
        </w:rPr>
      </w:pPr>
      <w:r>
        <w:rPr>
          <w:rFonts w:hint="eastAsia" w:ascii="仿宋" w:hAnsi="仿宋" w:eastAsia="仿宋" w:cs="仿宋"/>
          <w:color w:val="auto"/>
          <w:lang w:val="en-US" w:eastAsia="zh-CN"/>
        </w:rPr>
        <w:t>1.</w:t>
      </w:r>
      <w:r>
        <w:rPr>
          <w:rFonts w:hint="eastAsia" w:ascii="仿宋" w:hAnsi="仿宋" w:eastAsia="仿宋" w:cs="仿宋"/>
          <w:color w:val="auto"/>
        </w:rPr>
        <w:t>坚持高标准，</w:t>
      </w:r>
      <w:r>
        <w:rPr>
          <w:rFonts w:hint="eastAsia" w:ascii="仿宋" w:hAnsi="仿宋" w:eastAsia="仿宋" w:cs="仿宋"/>
          <w:color w:val="auto"/>
          <w:lang w:eastAsia="zh-CN"/>
        </w:rPr>
        <w:t>培育卓越</w:t>
      </w:r>
      <w:r>
        <w:rPr>
          <w:rFonts w:hint="eastAsia" w:ascii="仿宋" w:hAnsi="仿宋" w:eastAsia="仿宋" w:cs="仿宋"/>
          <w:color w:val="auto"/>
        </w:rPr>
        <w:t>人才。以建设</w:t>
      </w:r>
      <w:r>
        <w:rPr>
          <w:rFonts w:hint="eastAsia" w:ascii="仿宋" w:hAnsi="仿宋" w:eastAsia="仿宋" w:cs="仿宋"/>
          <w:color w:val="auto"/>
          <w:lang w:eastAsia="zh-CN"/>
        </w:rPr>
        <w:t>卓越</w:t>
      </w:r>
      <w:r>
        <w:rPr>
          <w:rFonts w:hint="eastAsia" w:ascii="仿宋" w:hAnsi="仿宋" w:eastAsia="仿宋" w:cs="仿宋"/>
          <w:color w:val="auto"/>
        </w:rPr>
        <w:t>研究生教育、培育一流创新人才为目标，对标先进、科学论证，大胆吸收借鉴国内外一流高校先进的培养经验和管理模式，</w:t>
      </w:r>
      <w:r>
        <w:rPr>
          <w:rFonts w:hint="eastAsia" w:ascii="仿宋" w:hAnsi="仿宋" w:eastAsia="仿宋" w:cs="仿宋"/>
          <w:color w:val="auto"/>
          <w:lang w:eastAsia="zh-CN"/>
        </w:rPr>
        <w:t>坚持“四个面向”，</w:t>
      </w:r>
      <w:r>
        <w:rPr>
          <w:rFonts w:hint="eastAsia" w:ascii="仿宋" w:hAnsi="仿宋" w:eastAsia="仿宋" w:cs="仿宋"/>
          <w:color w:val="auto"/>
        </w:rPr>
        <w:t>走内涵式发展道路，</w:t>
      </w:r>
      <w:r>
        <w:rPr>
          <w:rFonts w:hint="eastAsia" w:ascii="仿宋" w:hAnsi="仿宋" w:eastAsia="仿宋" w:cs="仿宋"/>
          <w:color w:val="auto"/>
          <w:lang w:eastAsia="zh-CN"/>
        </w:rPr>
        <w:t>充分</w:t>
      </w:r>
      <w:r>
        <w:rPr>
          <w:rFonts w:hint="eastAsia" w:ascii="仿宋" w:hAnsi="仿宋" w:eastAsia="仿宋" w:cs="仿宋"/>
          <w:color w:val="auto"/>
        </w:rPr>
        <w:t>体现</w:t>
      </w:r>
      <w:r>
        <w:rPr>
          <w:rFonts w:hint="eastAsia" w:ascii="仿宋" w:hAnsi="仿宋" w:eastAsia="仿宋" w:cs="仿宋"/>
          <w:color w:val="auto"/>
          <w:lang w:val="en-US" w:eastAsia="zh-CN"/>
        </w:rPr>
        <w:t>学院</w:t>
      </w:r>
      <w:r>
        <w:rPr>
          <w:rFonts w:hint="eastAsia" w:ascii="仿宋" w:hAnsi="仿宋" w:eastAsia="仿宋" w:cs="仿宋"/>
          <w:color w:val="auto"/>
        </w:rPr>
        <w:t>办学特色和优势人才培养目标，制定学位授予质量标准</w:t>
      </w:r>
      <w:r>
        <w:rPr>
          <w:rFonts w:hint="eastAsia" w:ascii="仿宋" w:hAnsi="仿宋" w:eastAsia="仿宋" w:cs="仿宋"/>
          <w:color w:val="auto"/>
          <w:lang w:eastAsia="zh-CN"/>
        </w:rPr>
        <w:t>。</w:t>
      </w:r>
    </w:p>
    <w:p>
      <w:pPr>
        <w:pStyle w:val="6"/>
        <w:widowControl/>
        <w:spacing w:beforeAutospacing="0" w:afterAutospacing="0" w:line="360" w:lineRule="auto"/>
        <w:rPr>
          <w:color w:val="auto"/>
        </w:rPr>
      </w:pPr>
      <w:r>
        <w:rPr>
          <w:rFonts w:hint="eastAsia" w:ascii="仿宋" w:hAnsi="仿宋" w:eastAsia="仿宋" w:cs="仿宋"/>
          <w:color w:val="auto"/>
        </w:rPr>
        <w:t xml:space="preserve">    </w:t>
      </w:r>
      <w:r>
        <w:rPr>
          <w:rFonts w:hint="eastAsia" w:ascii="仿宋" w:hAnsi="仿宋" w:eastAsia="仿宋" w:cs="仿宋"/>
          <w:color w:val="auto"/>
          <w:lang w:val="en-US" w:eastAsia="zh-CN"/>
        </w:rPr>
        <w:t>2.</w:t>
      </w:r>
      <w:r>
        <w:rPr>
          <w:rFonts w:hint="eastAsia" w:ascii="仿宋" w:hAnsi="仿宋" w:eastAsia="仿宋" w:cs="仿宋"/>
          <w:color w:val="auto"/>
        </w:rPr>
        <w:t>强化分类培养，深化教学改革。扎实推进分类培养，</w:t>
      </w:r>
      <w:r>
        <w:rPr>
          <w:rFonts w:hint="eastAsia" w:ascii="仿宋" w:hAnsi="仿宋" w:eastAsia="仿宋" w:cs="仿宋"/>
          <w:color w:val="auto"/>
          <w:lang w:eastAsia="zh-CN"/>
        </w:rPr>
        <w:t>从目标设定、课程设置、培养环节等强化学术型和专业型的区分。</w:t>
      </w:r>
      <w:r>
        <w:rPr>
          <w:rFonts w:hint="eastAsia" w:ascii="仿宋" w:hAnsi="仿宋" w:eastAsia="仿宋" w:cs="仿宋"/>
          <w:color w:val="auto"/>
        </w:rPr>
        <w:t>学术学位研究生应注重科研创新能力培养，加强学术研究方法训练，突出获取知识、前沿跟踪、学术交流、学术创新等能力的培养,</w:t>
      </w:r>
      <w:r>
        <w:rPr>
          <w:rFonts w:hint="eastAsia" w:ascii="仿宋" w:hAnsi="仿宋" w:eastAsia="仿宋" w:cs="仿宋"/>
          <w:color w:val="auto"/>
          <w:lang w:eastAsia="zh-CN"/>
        </w:rPr>
        <w:t>优化</w:t>
      </w:r>
      <w:r>
        <w:rPr>
          <w:rFonts w:hint="eastAsia" w:ascii="仿宋" w:hAnsi="仿宋" w:eastAsia="仿宋" w:cs="仿宋"/>
          <w:color w:val="auto"/>
        </w:rPr>
        <w:t>课程设置结构，注重研究方法类、</w:t>
      </w:r>
      <w:r>
        <w:rPr>
          <w:rFonts w:hint="eastAsia" w:ascii="仿宋" w:hAnsi="仿宋" w:eastAsia="仿宋" w:cs="仿宋"/>
          <w:color w:val="auto"/>
          <w:lang w:eastAsia="zh-CN"/>
        </w:rPr>
        <w:t>论文写作</w:t>
      </w:r>
      <w:r>
        <w:rPr>
          <w:rFonts w:hint="eastAsia" w:ascii="仿宋" w:hAnsi="仿宋" w:eastAsia="仿宋" w:cs="仿宋"/>
          <w:color w:val="auto"/>
        </w:rPr>
        <w:t>类、</w:t>
      </w:r>
      <w:r>
        <w:rPr>
          <w:rFonts w:hint="eastAsia" w:ascii="仿宋" w:hAnsi="仿宋" w:eastAsia="仿宋" w:cs="仿宋"/>
          <w:color w:val="auto"/>
          <w:lang w:eastAsia="zh-CN"/>
        </w:rPr>
        <w:t>交叉</w:t>
      </w:r>
      <w:r>
        <w:rPr>
          <w:rFonts w:hint="eastAsia" w:ascii="仿宋" w:hAnsi="仿宋" w:eastAsia="仿宋" w:cs="仿宋"/>
          <w:color w:val="auto"/>
        </w:rPr>
        <w:t>学科类等课程的设置。专业学位研究生</w:t>
      </w:r>
      <w:r>
        <w:rPr>
          <w:rFonts w:hint="eastAsia" w:ascii="仿宋" w:hAnsi="仿宋" w:eastAsia="仿宋" w:cs="仿宋"/>
          <w:color w:val="auto"/>
          <w:lang w:eastAsia="zh-CN"/>
        </w:rPr>
        <w:t>应</w:t>
      </w:r>
      <w:r>
        <w:rPr>
          <w:rFonts w:hint="eastAsia" w:ascii="仿宋" w:hAnsi="仿宋" w:eastAsia="仿宋" w:cs="仿宋"/>
          <w:color w:val="auto"/>
        </w:rPr>
        <w:t>注重“产、学、研”相结合的培养思想</w:t>
      </w:r>
      <w:r>
        <w:rPr>
          <w:rFonts w:hint="eastAsia" w:ascii="仿宋" w:hAnsi="仿宋" w:eastAsia="仿宋" w:cs="仿宋"/>
          <w:color w:val="auto"/>
          <w:lang w:eastAsia="zh-CN"/>
        </w:rPr>
        <w:t>，</w:t>
      </w:r>
      <w:r>
        <w:rPr>
          <w:rFonts w:hint="eastAsia" w:ascii="仿宋" w:hAnsi="仿宋" w:eastAsia="仿宋" w:cs="仿宋"/>
          <w:color w:val="auto"/>
        </w:rPr>
        <w:t>充分发挥实践基地的作用，</w:t>
      </w:r>
      <w:r>
        <w:rPr>
          <w:rFonts w:hint="eastAsia" w:ascii="仿宋" w:hAnsi="仿宋" w:eastAsia="仿宋" w:cs="仿宋"/>
          <w:color w:val="auto"/>
          <w:lang w:eastAsia="zh-CN"/>
        </w:rPr>
        <w:t>探索</w:t>
      </w:r>
      <w:r>
        <w:rPr>
          <w:rFonts w:hint="eastAsia" w:ascii="仿宋" w:hAnsi="仿宋" w:eastAsia="仿宋" w:cs="仿宋"/>
          <w:color w:val="auto"/>
        </w:rPr>
        <w:t>校企联合培养</w:t>
      </w:r>
      <w:r>
        <w:rPr>
          <w:rFonts w:hint="eastAsia" w:ascii="仿宋" w:hAnsi="仿宋" w:eastAsia="仿宋" w:cs="仿宋"/>
          <w:color w:val="auto"/>
          <w:lang w:eastAsia="zh-CN"/>
        </w:rPr>
        <w:t>。</w:t>
      </w:r>
    </w:p>
    <w:p>
      <w:pPr>
        <w:pStyle w:val="6"/>
        <w:widowControl/>
        <w:spacing w:beforeAutospacing="0" w:afterAutospacing="0" w:line="360" w:lineRule="auto"/>
        <w:ind w:firstLine="480"/>
        <w:rPr>
          <w:rFonts w:hint="eastAsia" w:ascii="仿宋" w:hAnsi="仿宋" w:eastAsia="仿宋" w:cs="仿宋"/>
          <w:color w:val="auto"/>
        </w:rPr>
      </w:pPr>
      <w:r>
        <w:rPr>
          <w:rFonts w:hint="eastAsia" w:ascii="仿宋" w:hAnsi="仿宋" w:eastAsia="仿宋" w:cs="仿宋"/>
          <w:color w:val="auto"/>
          <w:lang w:val="en-US" w:eastAsia="zh-CN"/>
        </w:rPr>
        <w:t>3.</w:t>
      </w:r>
      <w:r>
        <w:rPr>
          <w:rFonts w:hint="eastAsia" w:ascii="仿宋" w:hAnsi="仿宋" w:eastAsia="仿宋" w:cs="仿宋"/>
          <w:color w:val="auto"/>
        </w:rPr>
        <w:t>优化课程体系，落实课程思政。重视课程体系的系统设计和整体优化，淘汰已不适应培养需要的课程</w:t>
      </w:r>
      <w:r>
        <w:rPr>
          <w:rFonts w:hint="eastAsia" w:ascii="仿宋" w:hAnsi="仿宋" w:eastAsia="仿宋" w:cs="仿宋"/>
          <w:color w:val="auto"/>
          <w:lang w:eastAsia="zh-CN"/>
        </w:rPr>
        <w:t>，</w:t>
      </w:r>
      <w:r>
        <w:rPr>
          <w:rFonts w:hint="eastAsia" w:ascii="仿宋" w:hAnsi="仿宋" w:eastAsia="仿宋" w:cs="仿宋"/>
          <w:color w:val="auto"/>
        </w:rPr>
        <w:t>避免因人设课。自2021级研究生起，所有课程全面落实课程思政建设目标和要求</w:t>
      </w:r>
      <w:r>
        <w:rPr>
          <w:rFonts w:hint="eastAsia" w:ascii="仿宋" w:hAnsi="仿宋" w:eastAsia="仿宋" w:cs="仿宋"/>
          <w:color w:val="auto"/>
          <w:lang w:eastAsia="zh-CN"/>
        </w:rPr>
        <w:t>，</w:t>
      </w:r>
      <w:r>
        <w:rPr>
          <w:rFonts w:hint="eastAsia" w:ascii="仿宋" w:hAnsi="仿宋" w:eastAsia="仿宋" w:cs="仿宋"/>
          <w:color w:val="auto"/>
        </w:rPr>
        <w:t>深入挖掘提炼各类专业课程所蕴含的思政元素和德育功能，实现课程教学知识传授、能力培养、素质提升和价值引领相统一，将思想政治理论课、学科基础课程和专业课程的价值教育全覆盖。</w:t>
      </w:r>
    </w:p>
    <w:p>
      <w:pPr>
        <w:pStyle w:val="6"/>
        <w:widowControl/>
        <w:numPr>
          <w:ilvl w:val="0"/>
          <w:numId w:val="0"/>
        </w:numPr>
        <w:spacing w:beforeAutospacing="0" w:afterAutospacing="0" w:line="360" w:lineRule="auto"/>
        <w:ind w:firstLine="240" w:firstLineChars="100"/>
        <w:rPr>
          <w:rFonts w:hint="eastAsia" w:ascii="仿宋" w:hAnsi="仿宋" w:eastAsia="仿宋" w:cs="仿宋"/>
          <w:b/>
          <w:bCs/>
          <w:color w:val="auto"/>
          <w:lang w:val="en-US" w:eastAsia="zh-CN"/>
        </w:rPr>
      </w:pPr>
      <w:r>
        <w:rPr>
          <w:rFonts w:hint="eastAsia" w:ascii="仿宋" w:hAnsi="仿宋" w:eastAsia="仿宋" w:cs="仿宋"/>
          <w:color w:val="auto"/>
        </w:rPr>
        <w:t xml:space="preserve"> </w:t>
      </w:r>
      <w:r>
        <w:rPr>
          <w:rFonts w:hint="eastAsia" w:ascii="仿宋" w:hAnsi="仿宋" w:eastAsia="仿宋" w:cs="仿宋"/>
          <w:color w:val="auto"/>
          <w:lang w:val="en-US" w:eastAsia="zh-CN"/>
        </w:rPr>
        <w:t>4.</w:t>
      </w:r>
      <w:r>
        <w:rPr>
          <w:rFonts w:hint="eastAsia" w:ascii="仿宋" w:hAnsi="仿宋" w:eastAsia="仿宋" w:cs="仿宋"/>
          <w:color w:val="auto"/>
        </w:rPr>
        <w:t>加强学科交叉，形成培养特色。在满足学校基本要求的基础上，聚焦国家与区域重大战略发展需求，充分利用学科交叉、融合的综合优势，</w:t>
      </w:r>
      <w:r>
        <w:rPr>
          <w:rFonts w:hint="eastAsia" w:ascii="仿宋" w:hAnsi="仿宋" w:eastAsia="仿宋" w:cs="仿宋"/>
          <w:color w:val="auto"/>
          <w:lang w:eastAsia="zh-CN"/>
        </w:rPr>
        <w:t>积极探索跨学科导师团队指导、科研育人、平台育人培养模式，鼓励跨学科制定培养方案、共同组织课程教学，积极探索跨学科人才培养新机制。</w:t>
      </w:r>
    </w:p>
    <w:p>
      <w:pPr>
        <w:pStyle w:val="6"/>
        <w:widowControl/>
        <w:spacing w:beforeAutospacing="0" w:afterAutospacing="0" w:line="360" w:lineRule="auto"/>
        <w:rPr>
          <w:rFonts w:ascii="仿宋" w:hAnsi="仿宋" w:eastAsia="仿宋" w:cs="仿宋"/>
          <w:b/>
          <w:bCs/>
          <w:color w:val="auto"/>
        </w:rPr>
      </w:pPr>
      <w:r>
        <w:rPr>
          <w:rFonts w:hint="eastAsia" w:ascii="仿宋" w:hAnsi="仿宋" w:eastAsia="仿宋" w:cs="仿宋"/>
          <w:b/>
          <w:bCs/>
          <w:color w:val="auto"/>
          <w:lang w:eastAsia="zh-CN"/>
        </w:rPr>
        <w:t>三</w:t>
      </w:r>
      <w:r>
        <w:rPr>
          <w:rFonts w:hint="eastAsia" w:ascii="仿宋" w:hAnsi="仿宋" w:eastAsia="仿宋" w:cs="仿宋"/>
          <w:b/>
          <w:bCs/>
          <w:color w:val="auto"/>
        </w:rPr>
        <w:t>、</w:t>
      </w:r>
      <w:r>
        <w:rPr>
          <w:rFonts w:hint="eastAsia" w:ascii="仿宋" w:hAnsi="仿宋" w:eastAsia="仿宋" w:cs="仿宋"/>
          <w:b/>
          <w:bCs/>
          <w:color w:val="auto"/>
          <w:lang w:eastAsia="zh-CN"/>
        </w:rPr>
        <w:t>修订范围</w:t>
      </w:r>
    </w:p>
    <w:p>
      <w:pPr>
        <w:pStyle w:val="6"/>
        <w:widowControl/>
        <w:spacing w:beforeAutospacing="0" w:afterAutospacing="0" w:line="360" w:lineRule="auto"/>
        <w:ind w:firstLine="480"/>
        <w:rPr>
          <w:rFonts w:hint="eastAsia" w:ascii="仿宋" w:hAnsi="仿宋" w:eastAsia="仿宋" w:cs="仿宋"/>
          <w:color w:val="auto"/>
          <w:lang w:eastAsia="zh-CN"/>
        </w:rPr>
      </w:pPr>
      <w:r>
        <w:rPr>
          <w:rFonts w:hint="eastAsia" w:ascii="仿宋" w:hAnsi="仿宋" w:eastAsia="仿宋" w:cs="仿宋"/>
          <w:color w:val="auto"/>
          <w:lang w:eastAsia="zh-CN"/>
        </w:rPr>
        <w:t>本次培养方案修（制）订范围</w:t>
      </w:r>
      <w:r>
        <w:rPr>
          <w:rFonts w:hint="eastAsia" w:ascii="仿宋" w:hAnsi="仿宋" w:eastAsia="仿宋" w:cs="仿宋"/>
          <w:color w:val="auto"/>
        </w:rPr>
        <w:t>，具体包括博士研究生、学术型</w:t>
      </w:r>
      <w:r>
        <w:rPr>
          <w:rFonts w:hint="eastAsia" w:ascii="仿宋" w:hAnsi="仿宋" w:eastAsia="仿宋" w:cs="仿宋"/>
          <w:color w:val="auto"/>
          <w:lang w:eastAsia="zh-CN"/>
        </w:rPr>
        <w:t>硕士</w:t>
      </w:r>
      <w:r>
        <w:rPr>
          <w:rFonts w:hint="eastAsia" w:ascii="仿宋" w:hAnsi="仿宋" w:eastAsia="仿宋" w:cs="仿宋"/>
          <w:color w:val="auto"/>
        </w:rPr>
        <w:t>研究生、专业学位型硕士研究生、直博研究生的培养方案。</w:t>
      </w:r>
    </w:p>
    <w:p>
      <w:pPr>
        <w:pStyle w:val="6"/>
        <w:widowControl/>
        <w:numPr>
          <w:ilvl w:val="0"/>
          <w:numId w:val="2"/>
        </w:numPr>
        <w:spacing w:beforeAutospacing="0" w:afterAutospacing="0" w:line="540" w:lineRule="atLeast"/>
        <w:rPr>
          <w:rFonts w:hint="eastAsia" w:ascii="仿宋" w:hAnsi="仿宋" w:eastAsia="仿宋" w:cs="仿宋"/>
          <w:b/>
          <w:bCs/>
          <w:color w:val="auto"/>
        </w:rPr>
      </w:pPr>
      <w:r>
        <w:rPr>
          <w:rFonts w:hint="eastAsia" w:ascii="仿宋" w:hAnsi="仿宋" w:eastAsia="仿宋" w:cs="仿宋"/>
          <w:b/>
          <w:bCs/>
          <w:color w:val="auto"/>
          <w:lang w:eastAsia="zh-CN"/>
        </w:rPr>
        <w:t>具体</w:t>
      </w:r>
      <w:r>
        <w:rPr>
          <w:rFonts w:hint="eastAsia" w:ascii="仿宋" w:hAnsi="仿宋" w:eastAsia="仿宋" w:cs="仿宋"/>
          <w:b/>
          <w:bCs/>
          <w:color w:val="auto"/>
        </w:rPr>
        <w:t>要求</w:t>
      </w:r>
    </w:p>
    <w:p>
      <w:pPr>
        <w:pStyle w:val="6"/>
        <w:widowControl/>
        <w:numPr>
          <w:ilvl w:val="0"/>
          <w:numId w:val="3"/>
        </w:numPr>
        <w:spacing w:beforeAutospacing="0" w:afterAutospacing="0" w:line="540" w:lineRule="atLeast"/>
        <w:ind w:left="481" w:leftChars="0" w:firstLine="0" w:firstLineChars="0"/>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总体要求</w:t>
      </w:r>
    </w:p>
    <w:p>
      <w:pPr>
        <w:pStyle w:val="6"/>
        <w:widowControl/>
        <w:numPr>
          <w:ilvl w:val="0"/>
          <w:numId w:val="0"/>
        </w:numPr>
        <w:spacing w:beforeAutospacing="0" w:afterAutospacing="0" w:line="540" w:lineRule="atLeast"/>
        <w:ind w:firstLine="480" w:firstLineChars="200"/>
        <w:rPr>
          <w:rFonts w:hint="eastAsia" w:ascii="仿宋" w:hAnsi="仿宋" w:eastAsia="仿宋" w:cs="仿宋"/>
          <w:color w:val="auto"/>
          <w:lang w:val="en-US" w:eastAsia="zh-CN"/>
        </w:rPr>
      </w:pPr>
      <w:r>
        <w:rPr>
          <w:rFonts w:hint="eastAsia" w:ascii="仿宋" w:hAnsi="仿宋" w:eastAsia="仿宋" w:cs="仿宋"/>
          <w:b w:val="0"/>
          <w:bCs w:val="0"/>
          <w:color w:val="auto"/>
          <w:lang w:val="en-US" w:eastAsia="zh-CN"/>
        </w:rPr>
        <w:t>1.</w:t>
      </w:r>
      <w:r>
        <w:rPr>
          <w:rFonts w:hint="eastAsia" w:ascii="仿宋" w:hAnsi="仿宋" w:eastAsia="仿宋" w:cs="仿宋"/>
          <w:color w:val="auto"/>
        </w:rPr>
        <w:t>学科专业名称以国务院学位委员会颁布的《授予博士、硕士学位和培养研究生的学科专业目录》（简称《学科专业目录》）或学校已经备案的目录外自主设置二级学位点为准</w:t>
      </w:r>
      <w:r>
        <w:rPr>
          <w:rFonts w:hint="eastAsia" w:ascii="仿宋" w:hAnsi="仿宋" w:eastAsia="仿宋" w:cs="仿宋"/>
          <w:color w:val="auto"/>
          <w:lang w:eastAsia="zh-CN"/>
        </w:rPr>
        <w:t>，</w:t>
      </w:r>
      <w:r>
        <w:rPr>
          <w:rFonts w:hint="eastAsia" w:ascii="仿宋" w:hAnsi="仿宋" w:eastAsia="仿宋" w:cs="仿宋"/>
          <w:color w:val="auto"/>
        </w:rPr>
        <w:t>学科专业名称应与招生目录所列名称一致。</w:t>
      </w:r>
      <w:r>
        <w:rPr>
          <w:rFonts w:hint="eastAsia" w:ascii="仿宋" w:hAnsi="仿宋" w:eastAsia="仿宋" w:cs="仿宋"/>
          <w:color w:val="auto"/>
          <w:lang w:eastAsia="zh-CN"/>
        </w:rPr>
        <w:t>专业学位点的培养方案要结合各专业学位教指委的最新指导意见进行修订。</w:t>
      </w:r>
    </w:p>
    <w:p>
      <w:pPr>
        <w:pStyle w:val="6"/>
        <w:widowControl/>
        <w:spacing w:beforeAutospacing="0" w:afterAutospacing="0" w:line="540" w:lineRule="atLeast"/>
        <w:ind w:firstLine="480" w:firstLineChars="200"/>
        <w:rPr>
          <w:rFonts w:hint="eastAsia" w:ascii="仿宋" w:hAnsi="仿宋" w:eastAsia="仿宋" w:cs="仿宋"/>
          <w:color w:val="auto"/>
          <w:lang w:val="en-US" w:eastAsia="zh-CN"/>
        </w:rPr>
      </w:pPr>
      <w:r>
        <w:rPr>
          <w:rFonts w:hint="eastAsia" w:ascii="仿宋" w:hAnsi="仿宋" w:eastAsia="仿宋" w:cs="仿宋"/>
          <w:color w:val="auto"/>
          <w:lang w:val="en-US" w:eastAsia="zh-CN"/>
        </w:rPr>
        <w:t>2.正确把握学科发展的主流和趋势，力求体现前瞻性、先进性和前沿性。各学位授权点根据自身实际与学科特点，确定特色鲜明的人才培养目标，充分发挥优势与特色。</w:t>
      </w:r>
      <w:r>
        <w:rPr>
          <w:rFonts w:hint="eastAsia" w:ascii="仿宋" w:hAnsi="仿宋" w:eastAsia="仿宋" w:cs="仿宋"/>
          <w:color w:val="auto"/>
          <w:shd w:val="clear" w:color="auto" w:fill="FFFFFF"/>
        </w:rPr>
        <w:t>鼓励设置跨学科的研究方向，以促进学科专业间的合作、交叉与</w:t>
      </w:r>
      <w:r>
        <w:rPr>
          <w:rFonts w:hint="eastAsia" w:ascii="仿宋" w:hAnsi="仿宋" w:eastAsia="仿宋" w:cs="仿宋"/>
          <w:color w:val="auto"/>
          <w:shd w:val="clear" w:color="auto" w:fill="FFFFFF"/>
          <w:lang w:eastAsia="zh-CN"/>
        </w:rPr>
        <w:t>融合</w:t>
      </w:r>
      <w:r>
        <w:rPr>
          <w:rFonts w:hint="eastAsia" w:ascii="仿宋" w:hAnsi="仿宋" w:eastAsia="仿宋" w:cs="仿宋"/>
          <w:color w:val="auto"/>
          <w:shd w:val="clear" w:color="auto" w:fill="FFFFFF"/>
        </w:rPr>
        <w:t>，所设的每个研究方向均应有较强的师资配备，并有丰富的研究成果。</w:t>
      </w:r>
    </w:p>
    <w:p>
      <w:pPr>
        <w:pStyle w:val="6"/>
        <w:widowControl/>
        <w:spacing w:beforeAutospacing="0" w:afterAutospacing="0" w:line="540" w:lineRule="atLeast"/>
        <w:ind w:firstLine="465"/>
        <w:rPr>
          <w:rFonts w:hint="eastAsia" w:ascii="仿宋" w:hAnsi="仿宋" w:eastAsia="仿宋" w:cs="仿宋"/>
          <w:color w:val="auto"/>
          <w:shd w:val="clear" w:color="auto" w:fill="FFFFFF"/>
          <w:lang w:val="en-US" w:eastAsia="zh-CN"/>
        </w:rPr>
      </w:pPr>
      <w:r>
        <w:rPr>
          <w:rFonts w:hint="eastAsia" w:ascii="仿宋" w:hAnsi="仿宋" w:eastAsia="仿宋" w:cs="仿宋"/>
          <w:color w:val="auto"/>
          <w:shd w:val="clear" w:color="auto" w:fill="FFFFFF"/>
          <w:lang w:val="en-US" w:eastAsia="zh-CN"/>
        </w:rPr>
        <w:t>3.培养方案修（制）订应分层次、分类别明确人才培养目标和培养要求。同时具有博士、硕士学位授予权的学位点，应处理好不同层次学位培养目标之间的关系，整体考虑博士生、硕士生课程设置，既要合理衔接，又要体现不同的广度和深度，避免重复设置。</w:t>
      </w:r>
      <w:r>
        <w:rPr>
          <w:rFonts w:hint="eastAsia" w:ascii="仿宋" w:hAnsi="仿宋" w:eastAsia="仿宋" w:cs="仿宋"/>
          <w:color w:val="auto"/>
          <w:lang w:val="en-US" w:eastAsia="zh-CN"/>
        </w:rPr>
        <w:t>学术型、专业学位（全日制、非全日制）研究生及留学生培养方案需要分别制定，</w:t>
      </w:r>
      <w:r>
        <w:rPr>
          <w:rFonts w:hint="eastAsia" w:ascii="仿宋" w:hAnsi="仿宋" w:eastAsia="仿宋" w:cs="仿宋"/>
          <w:color w:val="auto"/>
        </w:rPr>
        <w:t>非全日制研究生</w:t>
      </w:r>
      <w:r>
        <w:rPr>
          <w:rFonts w:hint="eastAsia" w:ascii="仿宋" w:hAnsi="仿宋" w:eastAsia="仿宋" w:cs="仿宋"/>
          <w:color w:val="auto"/>
          <w:lang w:val="en-US" w:eastAsia="zh-CN"/>
        </w:rPr>
        <w:t>适当考虑</w:t>
      </w:r>
      <w:r>
        <w:rPr>
          <w:rFonts w:hint="eastAsia" w:ascii="仿宋" w:hAnsi="仿宋" w:eastAsia="仿宋" w:cs="仿宋"/>
          <w:color w:val="auto"/>
        </w:rPr>
        <w:t>采用科学</w:t>
      </w:r>
      <w:r>
        <w:rPr>
          <w:rFonts w:hint="eastAsia" w:ascii="仿宋" w:hAnsi="仿宋" w:eastAsia="仿宋" w:cs="仿宋"/>
          <w:color w:val="auto"/>
          <w:lang w:val="en-US" w:eastAsia="zh-CN"/>
        </w:rPr>
        <w:t>合理</w:t>
      </w:r>
      <w:r>
        <w:rPr>
          <w:rFonts w:hint="eastAsia" w:ascii="仿宋" w:hAnsi="仿宋" w:eastAsia="仿宋" w:cs="仿宋"/>
          <w:color w:val="auto"/>
        </w:rPr>
        <w:t>的授课方式和指导方式</w:t>
      </w:r>
      <w:r>
        <w:rPr>
          <w:rFonts w:hint="eastAsia" w:ascii="仿宋" w:hAnsi="仿宋" w:eastAsia="仿宋" w:cs="仿宋"/>
          <w:color w:val="auto"/>
          <w:lang w:eastAsia="zh-CN"/>
        </w:rPr>
        <w:t>。</w:t>
      </w:r>
    </w:p>
    <w:p>
      <w:pPr>
        <w:pStyle w:val="6"/>
        <w:widowControl/>
        <w:numPr>
          <w:ilvl w:val="0"/>
          <w:numId w:val="0"/>
        </w:numPr>
        <w:spacing w:beforeAutospacing="0" w:afterAutospacing="0" w:line="540" w:lineRule="atLeast"/>
        <w:ind w:left="481" w:leftChars="0"/>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（二）学制学年与课程设置</w:t>
      </w:r>
    </w:p>
    <w:p>
      <w:pPr>
        <w:pStyle w:val="6"/>
        <w:widowControl/>
        <w:spacing w:beforeAutospacing="0" w:afterAutospacing="0" w:line="540" w:lineRule="atLeast"/>
        <w:ind w:firstLine="480" w:firstLineChars="200"/>
        <w:rPr>
          <w:rFonts w:hint="eastAsia" w:ascii="仿宋" w:hAnsi="仿宋" w:eastAsia="仿宋" w:cs="仿宋"/>
          <w:color w:val="auto"/>
          <w:shd w:val="clear" w:color="auto" w:fill="FFFFFF"/>
          <w:lang w:val="en-US" w:eastAsia="zh-CN"/>
        </w:rPr>
      </w:pPr>
      <w:r>
        <w:rPr>
          <w:rFonts w:hint="eastAsia" w:ascii="仿宋" w:hAnsi="仿宋" w:eastAsia="仿宋" w:cs="仿宋"/>
          <w:color w:val="auto"/>
          <w:shd w:val="clear" w:color="auto" w:fill="FFFFFF"/>
          <w:lang w:val="en-US" w:eastAsia="zh-CN"/>
        </w:rPr>
        <w:t xml:space="preserve">1.学制与学习年限。实行弹性学制，博士生基本学制为3年，直博生基本学制为5年，最长学习年限8年。硕士生基本学制为2-3年，最长学习年限5年。  </w:t>
      </w:r>
    </w:p>
    <w:p>
      <w:pPr>
        <w:pStyle w:val="6"/>
        <w:widowControl/>
        <w:spacing w:beforeAutospacing="0" w:afterAutospacing="0" w:line="540" w:lineRule="atLeast"/>
        <w:ind w:firstLine="480" w:firstLineChars="200"/>
        <w:rPr>
          <w:rFonts w:ascii="仿宋" w:hAnsi="仿宋" w:eastAsia="仿宋" w:cs="仿宋"/>
          <w:color w:val="auto"/>
        </w:rPr>
      </w:pPr>
      <w:r>
        <w:rPr>
          <w:rFonts w:hint="eastAsia" w:ascii="仿宋" w:hAnsi="仿宋" w:eastAsia="仿宋" w:cs="仿宋"/>
          <w:color w:val="auto"/>
          <w:shd w:val="clear" w:color="auto" w:fill="FFFFFF"/>
          <w:lang w:val="en-US" w:eastAsia="zh-CN"/>
        </w:rPr>
        <w:t>2.学分要求和课程设置。学分要求和课程设置按浙商大研〔2018〕362-365号执行，专业学位硕士生应修最低总学分</w:t>
      </w:r>
      <w:r>
        <w:rPr>
          <w:rFonts w:hint="eastAsia" w:ascii="仿宋" w:hAnsi="仿宋" w:eastAsia="仿宋" w:cs="仿宋"/>
          <w:color w:val="auto"/>
          <w:shd w:val="clear" w:color="auto" w:fill="FFFFFF"/>
        </w:rPr>
        <w:t>按国务院学位办及全国专业学位教育指导委员会相关要求执行。课程体系一般包括学位课、</w:t>
      </w:r>
      <w:r>
        <w:rPr>
          <w:rFonts w:hint="eastAsia" w:ascii="仿宋" w:hAnsi="仿宋" w:eastAsia="仿宋" w:cs="仿宋"/>
          <w:color w:val="auto"/>
          <w:shd w:val="clear" w:color="auto" w:fill="FFFFFF"/>
          <w:lang w:val="en-US" w:eastAsia="zh-CN"/>
        </w:rPr>
        <w:t>必修课</w:t>
      </w:r>
      <w:r>
        <w:rPr>
          <w:rFonts w:hint="eastAsia" w:ascii="仿宋" w:hAnsi="仿宋" w:eastAsia="仿宋" w:cs="仿宋"/>
          <w:color w:val="auto"/>
          <w:shd w:val="clear" w:color="auto" w:fill="FFFFFF"/>
        </w:rPr>
        <w:t>和选修课</w:t>
      </w:r>
      <w:r>
        <w:rPr>
          <w:rFonts w:hint="eastAsia" w:ascii="仿宋" w:hAnsi="仿宋" w:eastAsia="仿宋" w:cs="仿宋"/>
          <w:color w:val="auto"/>
          <w:shd w:val="clear" w:color="auto" w:fill="FFFFFF"/>
          <w:lang w:val="en-US" w:eastAsia="zh-CN"/>
        </w:rPr>
        <w:t>3大类，</w:t>
      </w:r>
      <w:r>
        <w:rPr>
          <w:rFonts w:hint="eastAsia" w:ascii="仿宋" w:hAnsi="仿宋" w:eastAsia="仿宋" w:cs="仿宋"/>
          <w:color w:val="auto"/>
        </w:rPr>
        <w:t>选修课学分以1-2学分为宜。</w:t>
      </w:r>
    </w:p>
    <w:p>
      <w:pPr>
        <w:pStyle w:val="6"/>
        <w:widowControl/>
        <w:spacing w:beforeAutospacing="0" w:afterAutospacing="0" w:line="540" w:lineRule="atLeast"/>
        <w:ind w:firstLine="465"/>
        <w:rPr>
          <w:rFonts w:hint="eastAsia" w:ascii="仿宋" w:hAnsi="仿宋" w:eastAsia="仿宋" w:cs="仿宋"/>
          <w:color w:val="auto"/>
          <w:lang w:eastAsia="zh-CN"/>
        </w:rPr>
      </w:pPr>
      <w:r>
        <w:rPr>
          <w:rFonts w:hint="eastAsia" w:ascii="仿宋" w:hAnsi="仿宋" w:eastAsia="仿宋" w:cs="仿宋"/>
          <w:color w:val="auto"/>
          <w:lang w:eastAsia="zh-CN"/>
        </w:rPr>
        <w:t>直博研究生最低学分要求40学分。学位课程16-24学分：硕士外语4学分，博士外语2学分，专业学位课10-18学分；必修课程10-14学分：《中国特色社会主义理论与实践研究》2学分，《马克思主义与社会科学方法论》（文科）1学分，《自然辩证法》（理工科）1学分，《马克思主主理论课》2学分，专业必修课程6-11学分: 论文写作指导课1-2学分；选修课程4-12学分。</w:t>
      </w:r>
      <w:bookmarkStart w:id="0" w:name="_GoBack"/>
      <w:bookmarkEnd w:id="0"/>
    </w:p>
    <w:p>
      <w:pPr>
        <w:pStyle w:val="6"/>
        <w:widowControl/>
        <w:spacing w:beforeAutospacing="0" w:afterAutospacing="0" w:line="540" w:lineRule="atLeast"/>
        <w:ind w:firstLine="465"/>
        <w:rPr>
          <w:rFonts w:hint="eastAsia" w:ascii="仿宋" w:hAnsi="仿宋" w:eastAsia="仿宋" w:cs="仿宋"/>
          <w:color w:val="auto"/>
          <w:lang w:val="en-US" w:eastAsia="zh-CN"/>
        </w:rPr>
      </w:pPr>
      <w:r>
        <w:rPr>
          <w:rFonts w:hint="eastAsia" w:ascii="仿宋" w:hAnsi="仿宋" w:eastAsia="仿宋" w:cs="仿宋"/>
          <w:color w:val="auto"/>
          <w:lang w:eastAsia="zh-CN"/>
        </w:rPr>
        <w:t>根据《教育部办公厅关于进一步规范和加强研究生培养管理的通知》（教研厅【</w:t>
      </w:r>
      <w:r>
        <w:rPr>
          <w:rFonts w:hint="eastAsia" w:ascii="仿宋" w:hAnsi="仿宋" w:eastAsia="仿宋" w:cs="仿宋"/>
          <w:color w:val="auto"/>
          <w:lang w:val="en-US" w:eastAsia="zh-CN"/>
        </w:rPr>
        <w:t>2019</w:t>
      </w:r>
      <w:r>
        <w:rPr>
          <w:rFonts w:hint="eastAsia" w:ascii="仿宋" w:hAnsi="仿宋" w:eastAsia="仿宋" w:cs="仿宋"/>
          <w:color w:val="auto"/>
          <w:lang w:eastAsia="zh-CN"/>
        </w:rPr>
        <w:t>】</w:t>
      </w:r>
      <w:r>
        <w:rPr>
          <w:rFonts w:hint="eastAsia" w:ascii="仿宋" w:hAnsi="仿宋" w:eastAsia="仿宋" w:cs="仿宋"/>
          <w:color w:val="auto"/>
          <w:lang w:val="en-US" w:eastAsia="zh-CN"/>
        </w:rPr>
        <w:t>1号</w:t>
      </w:r>
      <w:r>
        <w:rPr>
          <w:rFonts w:hint="eastAsia" w:ascii="仿宋" w:hAnsi="仿宋" w:eastAsia="仿宋" w:cs="仿宋"/>
          <w:color w:val="auto"/>
          <w:lang w:eastAsia="zh-CN"/>
        </w:rPr>
        <w:t>），论文写作指导课作为专业必修课纳入培养方案，建议</w:t>
      </w:r>
      <w:r>
        <w:rPr>
          <w:rFonts w:hint="eastAsia" w:ascii="仿宋" w:hAnsi="仿宋" w:eastAsia="仿宋" w:cs="仿宋"/>
          <w:color w:val="auto"/>
          <w:lang w:val="en-US" w:eastAsia="zh-CN"/>
        </w:rPr>
        <w:t>1-2学分。</w:t>
      </w:r>
    </w:p>
    <w:p>
      <w:pPr>
        <w:pStyle w:val="6"/>
        <w:widowControl/>
        <w:numPr>
          <w:ilvl w:val="0"/>
          <w:numId w:val="4"/>
        </w:numPr>
        <w:spacing w:beforeAutospacing="0" w:afterAutospacing="0" w:line="540" w:lineRule="atLeast"/>
        <w:ind w:firstLine="480" w:firstLineChars="200"/>
        <w:rPr>
          <w:rFonts w:hint="eastAsia" w:ascii="仿宋" w:hAnsi="仿宋" w:eastAsia="仿宋" w:cs="仿宋"/>
          <w:color w:val="auto"/>
          <w:lang w:eastAsia="zh-CN"/>
        </w:rPr>
      </w:pPr>
      <w:r>
        <w:rPr>
          <w:rFonts w:hint="eastAsia" w:ascii="仿宋" w:hAnsi="仿宋" w:eastAsia="仿宋" w:cs="仿宋"/>
          <w:color w:val="auto"/>
        </w:rPr>
        <w:t>主要培养环节。</w:t>
      </w:r>
      <w:r>
        <w:rPr>
          <w:rFonts w:hint="eastAsia" w:ascii="仿宋" w:hAnsi="仿宋" w:eastAsia="仿宋" w:cs="仿宋"/>
          <w:color w:val="auto"/>
          <w:lang w:eastAsia="zh-CN"/>
        </w:rPr>
        <w:t>注重实践教学环节，</w:t>
      </w:r>
      <w:r>
        <w:rPr>
          <w:rFonts w:hint="eastAsia" w:ascii="仿宋" w:hAnsi="仿宋" w:eastAsia="仿宋" w:cs="仿宋"/>
          <w:color w:val="auto"/>
          <w:lang w:val="en-US" w:eastAsia="zh-CN"/>
        </w:rPr>
        <w:t>培养方案中应设置适当的实验课程。</w:t>
      </w:r>
      <w:r>
        <w:rPr>
          <w:rFonts w:hint="eastAsia" w:ascii="仿宋" w:hAnsi="仿宋" w:eastAsia="仿宋" w:cs="仿宋"/>
          <w:color w:val="auto"/>
        </w:rPr>
        <w:t>各</w:t>
      </w:r>
      <w:r>
        <w:rPr>
          <w:rFonts w:hint="eastAsia" w:ascii="仿宋" w:hAnsi="仿宋" w:eastAsia="仿宋" w:cs="仿宋"/>
          <w:color w:val="auto"/>
          <w:lang w:eastAsia="zh-CN"/>
        </w:rPr>
        <w:t>学位点应结合学科和科研平台建设</w:t>
      </w:r>
      <w:r>
        <w:rPr>
          <w:rFonts w:hint="eastAsia" w:ascii="仿宋" w:hAnsi="仿宋" w:eastAsia="仿宋" w:cs="仿宋"/>
          <w:color w:val="auto"/>
        </w:rPr>
        <w:t>，</w:t>
      </w:r>
      <w:r>
        <w:rPr>
          <w:rFonts w:hint="eastAsia" w:ascii="仿宋" w:hAnsi="仿宋" w:eastAsia="仿宋" w:cs="仿宋"/>
          <w:color w:val="auto"/>
          <w:lang w:val="en-US" w:eastAsia="zh-CN"/>
        </w:rPr>
        <w:t>保障实践教学条件，加强对学生现代实验方法和技能、社会调查等能力的培养；</w:t>
      </w:r>
      <w:r>
        <w:rPr>
          <w:rFonts w:hint="eastAsia" w:ascii="仿宋" w:hAnsi="仿宋" w:eastAsia="仿宋" w:cs="仿宋"/>
          <w:color w:val="auto"/>
          <w:lang w:eastAsia="zh-CN"/>
        </w:rPr>
        <w:t>注重整合和利用各种社会资源，</w:t>
      </w:r>
      <w:r>
        <w:rPr>
          <w:rFonts w:hint="eastAsia" w:ascii="仿宋" w:hAnsi="仿宋" w:eastAsia="仿宋" w:cs="仿宋"/>
          <w:color w:val="auto"/>
          <w:lang w:val="en-US" w:eastAsia="zh-CN"/>
        </w:rPr>
        <w:t>与企事业单位建立多种形式的研究生实践基地或联合培养基地，</w:t>
      </w:r>
      <w:r>
        <w:rPr>
          <w:rFonts w:hint="eastAsia" w:ascii="仿宋" w:hAnsi="仿宋" w:eastAsia="仿宋" w:cs="仿宋"/>
          <w:color w:val="auto"/>
          <w:lang w:eastAsia="zh-CN"/>
        </w:rPr>
        <w:t>着重</w:t>
      </w:r>
      <w:r>
        <w:rPr>
          <w:rFonts w:hint="eastAsia" w:ascii="仿宋" w:hAnsi="仿宋" w:eastAsia="仿宋" w:cs="仿宋"/>
          <w:color w:val="auto"/>
        </w:rPr>
        <w:t>培养研究生综合运用知识的能力</w:t>
      </w:r>
      <w:r>
        <w:rPr>
          <w:rFonts w:hint="eastAsia" w:ascii="仿宋" w:hAnsi="仿宋" w:eastAsia="仿宋" w:cs="仿宋"/>
          <w:color w:val="auto"/>
          <w:lang w:eastAsia="zh-CN"/>
        </w:rPr>
        <w:t>和实践创新能力。</w:t>
      </w:r>
    </w:p>
    <w:p>
      <w:pPr>
        <w:pStyle w:val="6"/>
        <w:widowControl/>
        <w:numPr>
          <w:ilvl w:val="0"/>
          <w:numId w:val="0"/>
        </w:numPr>
        <w:spacing w:beforeAutospacing="0" w:afterAutospacing="0" w:line="540" w:lineRule="atLeast"/>
        <w:ind w:left="481" w:leftChars="0"/>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（三）毕业与学位论文</w:t>
      </w:r>
    </w:p>
    <w:p>
      <w:pPr>
        <w:pStyle w:val="6"/>
        <w:widowControl/>
        <w:spacing w:beforeAutospacing="0" w:afterAutospacing="0" w:line="540" w:lineRule="atLeast"/>
        <w:ind w:firstLine="480"/>
        <w:rPr>
          <w:rFonts w:hint="default" w:ascii="仿宋" w:hAnsi="仿宋" w:eastAsia="仿宋" w:cs="仿宋"/>
          <w:lang w:val="en-US" w:eastAsia="zh-CN"/>
        </w:rPr>
      </w:pPr>
      <w:r>
        <w:rPr>
          <w:rFonts w:hint="eastAsia" w:ascii="仿宋" w:hAnsi="仿宋" w:eastAsia="仿宋" w:cs="仿宋"/>
          <w:b w:val="0"/>
          <w:bCs w:val="0"/>
          <w:color w:val="auto"/>
          <w:lang w:val="en-US" w:eastAsia="zh-CN"/>
        </w:rPr>
        <w:t>1.</w:t>
      </w:r>
      <w:r>
        <w:rPr>
          <w:rFonts w:hint="eastAsia" w:ascii="仿宋" w:hAnsi="仿宋" w:eastAsia="仿宋" w:cs="仿宋"/>
        </w:rPr>
        <w:t>学位论文要求。学位论文工作是保障培养质量的重要环节，主要包括选题论证、开题报告、中期考核、预答辩、论文答辩等诸多培养环节以及中期考核分流、评审前查重检测、外送双盲评审、答辩论文修改、论文</w:t>
      </w:r>
      <w:r>
        <w:rPr>
          <w:rFonts w:hint="eastAsia" w:ascii="仿宋" w:hAnsi="仿宋" w:eastAsia="仿宋" w:cs="仿宋"/>
          <w:lang w:val="en-US" w:eastAsia="zh-CN"/>
        </w:rPr>
        <w:t>终稿</w:t>
      </w:r>
      <w:r>
        <w:rPr>
          <w:rFonts w:hint="eastAsia" w:ascii="仿宋" w:hAnsi="仿宋" w:eastAsia="仿宋" w:cs="仿宋"/>
        </w:rPr>
        <w:t>存档等质量控制。各</w:t>
      </w:r>
      <w:r>
        <w:rPr>
          <w:rFonts w:hint="eastAsia" w:ascii="仿宋" w:hAnsi="仿宋" w:eastAsia="仿宋" w:cs="仿宋"/>
          <w:lang w:val="en-US" w:eastAsia="zh-CN"/>
        </w:rPr>
        <w:t>学院</w:t>
      </w:r>
      <w:r>
        <w:rPr>
          <w:rFonts w:hint="eastAsia" w:ascii="仿宋" w:hAnsi="仿宋" w:eastAsia="仿宋" w:cs="仿宋"/>
        </w:rPr>
        <w:t>应在学校相关管理规定基础上，根据本学科实际，制定相应的实施细则。</w:t>
      </w:r>
    </w:p>
    <w:p>
      <w:pPr>
        <w:pStyle w:val="6"/>
        <w:widowControl/>
        <w:numPr>
          <w:ilvl w:val="0"/>
          <w:numId w:val="0"/>
        </w:numPr>
        <w:spacing w:beforeAutospacing="0" w:afterAutospacing="0" w:line="540" w:lineRule="atLeast"/>
        <w:ind w:firstLine="480" w:firstLineChars="200"/>
        <w:rPr>
          <w:rFonts w:hint="eastAsia" w:ascii="仿宋" w:hAnsi="仿宋" w:eastAsia="仿宋" w:cs="仿宋"/>
          <w:color w:val="auto"/>
          <w:lang w:eastAsia="zh-CN"/>
        </w:rPr>
      </w:pPr>
      <w:r>
        <w:rPr>
          <w:rFonts w:hint="eastAsia" w:ascii="仿宋" w:hAnsi="仿宋" w:eastAsia="仿宋" w:cs="仿宋"/>
          <w:color w:val="auto"/>
          <w:lang w:val="en-US" w:eastAsia="zh-CN"/>
        </w:rPr>
        <w:t>2.</w:t>
      </w:r>
      <w:r>
        <w:rPr>
          <w:rFonts w:hint="eastAsia" w:ascii="仿宋" w:hAnsi="仿宋" w:eastAsia="仿宋" w:cs="仿宋"/>
          <w:color w:val="auto"/>
          <w:lang w:eastAsia="zh-CN"/>
        </w:rPr>
        <w:t>毕业与学位申请。各</w:t>
      </w:r>
      <w:r>
        <w:rPr>
          <w:rFonts w:hint="eastAsia" w:ascii="仿宋" w:hAnsi="仿宋" w:eastAsia="仿宋" w:cs="仿宋"/>
          <w:color w:val="auto"/>
          <w:lang w:val="en-US" w:eastAsia="zh-CN"/>
        </w:rPr>
        <w:t>培养学院</w:t>
      </w:r>
      <w:r>
        <w:rPr>
          <w:rFonts w:hint="eastAsia" w:ascii="仿宋" w:hAnsi="仿宋" w:eastAsia="仿宋" w:cs="仿宋"/>
          <w:color w:val="auto"/>
          <w:lang w:eastAsia="zh-CN"/>
        </w:rPr>
        <w:t>在《一级学科博士、硕士学位基本要求》、《学位授予和人才培养一级学科简介》、《专业学位类别（领域）博士、硕士学位基本要求》以及学校相关管理规定的基础上，应采用论文、专利、实践成果及其他科研成果形成多样化质量评价指标。</w:t>
      </w:r>
    </w:p>
    <w:p>
      <w:pPr>
        <w:pStyle w:val="6"/>
        <w:widowControl/>
        <w:numPr>
          <w:ilvl w:val="0"/>
          <w:numId w:val="0"/>
        </w:numPr>
        <w:spacing w:beforeAutospacing="0" w:afterAutospacing="0" w:line="540" w:lineRule="atLeast"/>
        <w:ind w:left="481" w:leftChars="0"/>
        <w:rPr>
          <w:rFonts w:hint="eastAsia" w:ascii="仿宋" w:hAnsi="仿宋" w:eastAsia="仿宋" w:cs="仿宋"/>
          <w:b/>
          <w:bCs/>
          <w:color w:val="auto"/>
          <w:lang w:val="en-US" w:eastAsia="zh-CN"/>
        </w:rPr>
      </w:pPr>
      <w:r>
        <w:rPr>
          <w:rFonts w:hint="eastAsia" w:ascii="仿宋" w:hAnsi="仿宋" w:eastAsia="仿宋" w:cs="仿宋"/>
          <w:b/>
          <w:bCs/>
          <w:color w:val="auto"/>
          <w:lang w:val="en-US" w:eastAsia="zh-CN"/>
        </w:rPr>
        <w:t>（四）其他要求</w:t>
      </w:r>
    </w:p>
    <w:p>
      <w:pPr>
        <w:pStyle w:val="6"/>
        <w:widowControl/>
        <w:spacing w:beforeAutospacing="0" w:afterAutospacing="0" w:line="540" w:lineRule="atLeast"/>
        <w:rPr>
          <w:color w:val="auto"/>
        </w:rPr>
      </w:pPr>
      <w:r>
        <w:rPr>
          <w:rFonts w:hint="eastAsia" w:ascii="仿宋" w:hAnsi="仿宋" w:eastAsia="仿宋" w:cs="仿宋"/>
          <w:color w:val="auto"/>
        </w:rPr>
        <w:t xml:space="preserve"> </w:t>
      </w:r>
      <w:r>
        <w:rPr>
          <w:rFonts w:hint="eastAsia" w:ascii="仿宋" w:hAnsi="仿宋" w:eastAsia="仿宋" w:cs="仿宋"/>
          <w:color w:val="auto"/>
          <w:highlight w:val="none"/>
        </w:rPr>
        <w:t xml:space="preserve">   1.培养方案主要内容包括学科简介、培养目标、</w:t>
      </w:r>
      <w:r>
        <w:rPr>
          <w:rFonts w:hint="eastAsia" w:ascii="仿宋" w:hAnsi="仿宋" w:eastAsia="仿宋" w:cs="仿宋"/>
          <w:color w:val="auto"/>
          <w:highlight w:val="none"/>
          <w:lang w:eastAsia="zh-CN"/>
        </w:rPr>
        <w:t>主要</w:t>
      </w:r>
      <w:r>
        <w:rPr>
          <w:rFonts w:hint="eastAsia" w:ascii="仿宋" w:hAnsi="仿宋" w:eastAsia="仿宋" w:cs="仿宋"/>
          <w:color w:val="auto"/>
          <w:highlight w:val="none"/>
        </w:rPr>
        <w:t>研究方向、学制</w:t>
      </w:r>
      <w:r>
        <w:rPr>
          <w:rFonts w:hint="eastAsia" w:ascii="仿宋" w:hAnsi="仿宋" w:eastAsia="仿宋" w:cs="仿宋"/>
          <w:color w:val="auto"/>
          <w:highlight w:val="none"/>
          <w:lang w:eastAsia="zh-CN"/>
        </w:rPr>
        <w:t>与培养方式</w:t>
      </w:r>
      <w:r>
        <w:rPr>
          <w:rFonts w:hint="eastAsia" w:ascii="仿宋" w:hAnsi="仿宋" w:eastAsia="仿宋" w:cs="仿宋"/>
          <w:color w:val="auto"/>
          <w:highlight w:val="none"/>
        </w:rPr>
        <w:t>、课程设置</w:t>
      </w:r>
      <w:r>
        <w:rPr>
          <w:rFonts w:hint="eastAsia" w:ascii="仿宋" w:hAnsi="仿宋" w:eastAsia="仿宋" w:cs="仿宋"/>
          <w:color w:val="auto"/>
          <w:highlight w:val="none"/>
          <w:lang w:eastAsia="zh-CN"/>
        </w:rPr>
        <w:t>与学分要求</w:t>
      </w:r>
      <w:r>
        <w:rPr>
          <w:rFonts w:hint="eastAsia" w:ascii="仿宋" w:hAnsi="仿宋" w:eastAsia="仿宋" w:cs="仿宋"/>
          <w:color w:val="auto"/>
          <w:highlight w:val="none"/>
        </w:rPr>
        <w:t>、主要培养环节、</w:t>
      </w:r>
      <w:r>
        <w:rPr>
          <w:rFonts w:hint="eastAsia" w:ascii="仿宋" w:hAnsi="仿宋" w:eastAsia="仿宋" w:cs="仿宋"/>
          <w:color w:val="auto"/>
          <w:highlight w:val="none"/>
          <w:lang w:eastAsia="zh-CN"/>
        </w:rPr>
        <w:t>文献阅读主要书目和期刊目录、</w:t>
      </w:r>
      <w:r>
        <w:rPr>
          <w:rFonts w:hint="eastAsia" w:ascii="仿宋" w:hAnsi="仿宋" w:eastAsia="仿宋" w:cs="仿宋"/>
          <w:color w:val="auto"/>
          <w:highlight w:val="none"/>
        </w:rPr>
        <w:t>学位论文</w:t>
      </w:r>
      <w:r>
        <w:rPr>
          <w:rFonts w:hint="eastAsia" w:ascii="仿宋" w:hAnsi="仿宋" w:eastAsia="仿宋" w:cs="仿宋"/>
          <w:color w:val="auto"/>
          <w:highlight w:val="none"/>
          <w:lang w:eastAsia="zh-CN"/>
        </w:rPr>
        <w:t>工作等。各学位点</w:t>
      </w:r>
      <w:r>
        <w:rPr>
          <w:rFonts w:hint="eastAsia" w:ascii="仿宋" w:hAnsi="仿宋" w:eastAsia="仿宋" w:cs="仿宋"/>
          <w:color w:val="auto"/>
        </w:rPr>
        <w:t>也可根据实际需要，增加其他相关培养内容和要求</w:t>
      </w:r>
      <w:r>
        <w:rPr>
          <w:rFonts w:hint="eastAsia" w:ascii="仿宋" w:hAnsi="仿宋" w:eastAsia="仿宋" w:cs="仿宋"/>
          <w:color w:val="auto"/>
          <w:lang w:eastAsia="zh-CN"/>
        </w:rPr>
        <w:t>或</w:t>
      </w:r>
      <w:r>
        <w:rPr>
          <w:rFonts w:hint="eastAsia" w:ascii="仿宋" w:hAnsi="仿宋" w:eastAsia="仿宋" w:cs="仿宋"/>
          <w:color w:val="auto"/>
        </w:rPr>
        <w:t>根据学科特点在相关内容上有所侧重</w:t>
      </w:r>
      <w:r>
        <w:rPr>
          <w:rFonts w:hint="eastAsia" w:ascii="仿宋" w:hAnsi="仿宋" w:eastAsia="仿宋" w:cs="仿宋"/>
          <w:color w:val="auto"/>
          <w:lang w:eastAsia="zh-CN"/>
        </w:rPr>
        <w:t>。</w:t>
      </w:r>
      <w:r>
        <w:rPr>
          <w:rFonts w:hint="eastAsia" w:ascii="仿宋" w:hAnsi="仿宋" w:eastAsia="仿宋" w:cs="仿宋"/>
          <w:color w:val="auto"/>
          <w:lang w:val="en-US" w:eastAsia="zh-CN"/>
        </w:rPr>
        <w:t>2021级研究生培养方案参考模板见附件2。</w:t>
      </w:r>
    </w:p>
    <w:p>
      <w:pPr>
        <w:pStyle w:val="6"/>
        <w:widowControl/>
        <w:spacing w:beforeAutospacing="0" w:afterAutospacing="0" w:line="540" w:lineRule="atLeast"/>
        <w:rPr>
          <w:rFonts w:ascii="仿宋" w:hAnsi="仿宋" w:eastAsia="仿宋" w:cs="仿宋"/>
          <w:color w:val="auto"/>
        </w:rPr>
      </w:pPr>
      <w:r>
        <w:rPr>
          <w:rFonts w:hint="eastAsia" w:ascii="仿宋" w:hAnsi="仿宋" w:eastAsia="仿宋" w:cs="仿宋"/>
          <w:color w:val="auto"/>
          <w:highlight w:val="none"/>
        </w:rPr>
        <w:t xml:space="preserve">    </w:t>
      </w:r>
      <w:r>
        <w:rPr>
          <w:rFonts w:hint="eastAsia" w:ascii="仿宋" w:hAnsi="仿宋" w:eastAsia="仿宋" w:cs="仿宋"/>
          <w:color w:val="auto"/>
          <w:highlight w:val="none"/>
          <w:lang w:val="en-US" w:eastAsia="zh-CN"/>
        </w:rPr>
        <w:t>2</w:t>
      </w:r>
      <w:r>
        <w:rPr>
          <w:rFonts w:hint="eastAsia" w:ascii="仿宋" w:hAnsi="仿宋" w:eastAsia="仿宋" w:cs="仿宋"/>
          <w:color w:val="auto"/>
          <w:highlight w:val="none"/>
        </w:rPr>
        <w:t>.培养方案确定的所有课程，均应编写课程教学大纲。课程教学大纲应</w:t>
      </w:r>
      <w:r>
        <w:rPr>
          <w:rFonts w:hint="eastAsia" w:ascii="仿宋" w:hAnsi="仿宋" w:eastAsia="仿宋" w:cs="仿宋"/>
          <w:color w:val="auto"/>
          <w:highlight w:val="none"/>
          <w:lang w:eastAsia="zh-CN"/>
        </w:rPr>
        <w:t>按规范模板撰写，</w:t>
      </w:r>
      <w:r>
        <w:rPr>
          <w:rFonts w:hint="eastAsia" w:ascii="仿宋" w:hAnsi="仿宋" w:eastAsia="仿宋" w:cs="仿宋"/>
          <w:color w:val="auto"/>
          <w:highlight w:val="none"/>
        </w:rPr>
        <w:t>包括课程中英文名称、课程概述、</w:t>
      </w:r>
      <w:r>
        <w:rPr>
          <w:rFonts w:hint="eastAsia" w:ascii="仿宋" w:hAnsi="仿宋" w:eastAsia="仿宋" w:cs="仿宋"/>
          <w:color w:val="auto"/>
          <w:highlight w:val="none"/>
          <w:lang w:val="en-US" w:eastAsia="zh-CN"/>
        </w:rPr>
        <w:t>教学</w:t>
      </w:r>
      <w:r>
        <w:rPr>
          <w:rFonts w:hint="eastAsia" w:ascii="仿宋" w:hAnsi="仿宋" w:eastAsia="仿宋" w:cs="仿宋"/>
          <w:color w:val="auto"/>
          <w:highlight w:val="none"/>
        </w:rPr>
        <w:t>目标、课程内容、</w:t>
      </w:r>
      <w:r>
        <w:rPr>
          <w:rFonts w:hint="eastAsia" w:ascii="仿宋" w:hAnsi="仿宋" w:eastAsia="仿宋" w:cs="仿宋"/>
          <w:color w:val="auto"/>
          <w:highlight w:val="none"/>
          <w:lang w:val="en-US" w:eastAsia="zh-CN"/>
        </w:rPr>
        <w:t>教学安排、授课方式与手段</w:t>
      </w:r>
      <w:r>
        <w:rPr>
          <w:rFonts w:hint="eastAsia" w:ascii="仿宋" w:hAnsi="仿宋" w:eastAsia="仿宋" w:cs="仿宋"/>
          <w:color w:val="auto"/>
          <w:highlight w:val="none"/>
        </w:rPr>
        <w:t>、考核</w:t>
      </w:r>
      <w:r>
        <w:rPr>
          <w:rFonts w:hint="eastAsia" w:ascii="仿宋" w:hAnsi="仿宋" w:eastAsia="仿宋" w:cs="仿宋"/>
          <w:color w:val="auto"/>
          <w:highlight w:val="none"/>
          <w:lang w:val="en-US" w:eastAsia="zh-CN"/>
        </w:rPr>
        <w:t>方式及成绩评定</w:t>
      </w:r>
      <w:r>
        <w:rPr>
          <w:rFonts w:hint="eastAsia" w:ascii="仿宋" w:hAnsi="仿宋" w:eastAsia="仿宋" w:cs="仿宋"/>
          <w:color w:val="auto"/>
          <w:highlight w:val="none"/>
        </w:rPr>
        <w:t>、</w:t>
      </w:r>
      <w:r>
        <w:rPr>
          <w:rFonts w:hint="eastAsia" w:ascii="仿宋" w:hAnsi="仿宋" w:eastAsia="仿宋" w:cs="仿宋"/>
          <w:color w:val="auto"/>
          <w:highlight w:val="none"/>
          <w:lang w:val="en-US" w:eastAsia="zh-CN"/>
        </w:rPr>
        <w:t>教材及主要参考书</w:t>
      </w:r>
      <w:r>
        <w:rPr>
          <w:rFonts w:hint="eastAsia" w:ascii="仿宋" w:hAnsi="仿宋" w:eastAsia="仿宋" w:cs="仿宋"/>
          <w:color w:val="auto"/>
          <w:highlight w:val="none"/>
        </w:rPr>
        <w:t>等</w:t>
      </w:r>
      <w:r>
        <w:rPr>
          <w:rFonts w:hint="eastAsia" w:ascii="仿宋" w:hAnsi="仿宋" w:eastAsia="仿宋" w:cs="仿宋"/>
          <w:color w:val="auto"/>
        </w:rPr>
        <w:t>。学术学位</w:t>
      </w:r>
      <w:r>
        <w:rPr>
          <w:rFonts w:hint="eastAsia" w:ascii="仿宋" w:hAnsi="仿宋" w:eastAsia="仿宋" w:cs="仿宋"/>
          <w:color w:val="auto"/>
          <w:lang w:val="en-US" w:eastAsia="zh-CN"/>
        </w:rPr>
        <w:t>研究生</w:t>
      </w:r>
      <w:r>
        <w:rPr>
          <w:rFonts w:hint="eastAsia" w:ascii="仿宋" w:hAnsi="仿宋" w:eastAsia="仿宋" w:cs="仿宋"/>
          <w:color w:val="auto"/>
        </w:rPr>
        <w:t>核心课程既考虑课程的基础性，又考虑课程的前沿性；专业学位研究生核心课程既考虑课程的前沿性，又考虑课程的实践性。</w:t>
      </w:r>
      <w:r>
        <w:rPr>
          <w:rFonts w:hint="eastAsia" w:ascii="仿宋" w:hAnsi="仿宋" w:eastAsia="仿宋" w:cs="仿宋"/>
          <w:color w:val="auto"/>
          <w:lang w:val="en-US" w:eastAsia="zh-CN"/>
        </w:rPr>
        <w:t>2021级研究生课程教学大纲参考模板见附件3。</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85DEE85"/>
    <w:multiLevelType w:val="singleLevel"/>
    <w:tmpl w:val="B85DEE85"/>
    <w:lvl w:ilvl="0" w:tentative="0">
      <w:start w:val="3"/>
      <w:numFmt w:val="decimal"/>
      <w:lvlText w:val="%1."/>
      <w:lvlJc w:val="left"/>
      <w:pPr>
        <w:tabs>
          <w:tab w:val="left" w:pos="312"/>
        </w:tabs>
      </w:pPr>
    </w:lvl>
  </w:abstractNum>
  <w:abstractNum w:abstractNumId="1">
    <w:nsid w:val="D95F3366"/>
    <w:multiLevelType w:val="singleLevel"/>
    <w:tmpl w:val="D95F3366"/>
    <w:lvl w:ilvl="0" w:tentative="0">
      <w:start w:val="1"/>
      <w:numFmt w:val="chineseCounting"/>
      <w:suff w:val="nothing"/>
      <w:lvlText w:val="%1、"/>
      <w:lvlJc w:val="left"/>
      <w:rPr>
        <w:rFonts w:hint="eastAsia"/>
      </w:rPr>
    </w:lvl>
  </w:abstractNum>
  <w:abstractNum w:abstractNumId="2">
    <w:nsid w:val="3642CE7B"/>
    <w:multiLevelType w:val="singleLevel"/>
    <w:tmpl w:val="3642CE7B"/>
    <w:lvl w:ilvl="0" w:tentative="0">
      <w:start w:val="1"/>
      <w:numFmt w:val="chineseCounting"/>
      <w:suff w:val="nothing"/>
      <w:lvlText w:val="（%1）"/>
      <w:lvlJc w:val="left"/>
      <w:pPr>
        <w:ind w:left="481" w:leftChars="0" w:firstLine="0" w:firstLineChars="0"/>
      </w:pPr>
      <w:rPr>
        <w:rFonts w:hint="eastAsia"/>
      </w:rPr>
    </w:lvl>
  </w:abstractNum>
  <w:abstractNum w:abstractNumId="3">
    <w:nsid w:val="483D74E4"/>
    <w:multiLevelType w:val="singleLevel"/>
    <w:tmpl w:val="483D74E4"/>
    <w:lvl w:ilvl="0" w:tentative="0">
      <w:start w:val="4"/>
      <w:numFmt w:val="chineseCounting"/>
      <w:suff w:val="nothing"/>
      <w:lvlText w:val="%1、"/>
      <w:lvlJc w:val="left"/>
      <w:rPr>
        <w:rFonts w:hint="eastAsia"/>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9132F85"/>
    <w:rsid w:val="000F6751"/>
    <w:rsid w:val="002805C8"/>
    <w:rsid w:val="002F683E"/>
    <w:rsid w:val="00312406"/>
    <w:rsid w:val="00583417"/>
    <w:rsid w:val="007D112F"/>
    <w:rsid w:val="00883EAF"/>
    <w:rsid w:val="008C1D59"/>
    <w:rsid w:val="00A27ACE"/>
    <w:rsid w:val="00BD5152"/>
    <w:rsid w:val="00C4051B"/>
    <w:rsid w:val="00D868B9"/>
    <w:rsid w:val="00E95E35"/>
    <w:rsid w:val="00FB138F"/>
    <w:rsid w:val="01E03867"/>
    <w:rsid w:val="1176778C"/>
    <w:rsid w:val="13076488"/>
    <w:rsid w:val="14B1251B"/>
    <w:rsid w:val="1655720E"/>
    <w:rsid w:val="16B0129B"/>
    <w:rsid w:val="1BDB2833"/>
    <w:rsid w:val="21491E4C"/>
    <w:rsid w:val="23F056AF"/>
    <w:rsid w:val="26D55F6B"/>
    <w:rsid w:val="34641A54"/>
    <w:rsid w:val="36237536"/>
    <w:rsid w:val="3C7579CE"/>
    <w:rsid w:val="3DA204D8"/>
    <w:rsid w:val="41F66DFE"/>
    <w:rsid w:val="43A12435"/>
    <w:rsid w:val="476805C1"/>
    <w:rsid w:val="47FD3CBA"/>
    <w:rsid w:val="4A5B0EFE"/>
    <w:rsid w:val="4AB00C8B"/>
    <w:rsid w:val="4BBE5927"/>
    <w:rsid w:val="4D613F2F"/>
    <w:rsid w:val="510E5EDF"/>
    <w:rsid w:val="52BA503D"/>
    <w:rsid w:val="53202710"/>
    <w:rsid w:val="54093502"/>
    <w:rsid w:val="55973697"/>
    <w:rsid w:val="581D44CA"/>
    <w:rsid w:val="5C2E1F2A"/>
    <w:rsid w:val="5FEA7679"/>
    <w:rsid w:val="624E257B"/>
    <w:rsid w:val="66217921"/>
    <w:rsid w:val="746F5013"/>
    <w:rsid w:val="75F25017"/>
    <w:rsid w:val="79132F85"/>
    <w:rsid w:val="7F8875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spacing w:after="120"/>
      <w:ind w:left="420" w:leftChars="200"/>
    </w:pPr>
    <w:rPr>
      <w:szCs w:val="20"/>
    </w:r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Char"/>
    <w:basedOn w:val="8"/>
    <w:link w:val="5"/>
    <w:qFormat/>
    <w:uiPriority w:val="0"/>
    <w:rPr>
      <w:rFonts w:asciiTheme="minorHAnsi" w:hAnsiTheme="minorHAnsi" w:eastAsiaTheme="minorEastAsia" w:cstheme="minorBidi"/>
      <w:kern w:val="2"/>
      <w:sz w:val="18"/>
      <w:szCs w:val="18"/>
    </w:rPr>
  </w:style>
  <w:style w:type="character" w:customStyle="1" w:styleId="10">
    <w:name w:val="页脚 Char"/>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440</Words>
  <Characters>2512</Characters>
  <Lines>20</Lines>
  <Paragraphs>5</Paragraphs>
  <TotalTime>2</TotalTime>
  <ScaleCrop>false</ScaleCrop>
  <LinksUpToDate>false</LinksUpToDate>
  <CharactersWithSpaces>2947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2020-11-16T06:43:00Z</dcterms:created>
  <dc:creator>云和细雨</dc:creator>
  <cp:lastModifiedBy>学科办</cp:lastModifiedBy>
  <cp:lastPrinted>2020-11-16T06:53:00Z</cp:lastPrinted>
  <dcterms:modified xsi:type="dcterms:W3CDTF">2021-01-19T06:02:47Z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