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11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34F51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 w14:paraId="06EAC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“十四五”第二批研究生教育教学改革</w:t>
      </w:r>
    </w:p>
    <w:p w14:paraId="38351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项目选题指南</w:t>
      </w:r>
    </w:p>
    <w:p w14:paraId="27193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博士研究生培养模式改革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与实践</w:t>
      </w:r>
      <w:bookmarkStart w:id="0" w:name="_GoBack"/>
      <w:bookmarkEnd w:id="0"/>
    </w:p>
    <w:p w14:paraId="77205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2.卓越工程师培养模式探索与实践</w:t>
      </w:r>
    </w:p>
    <w:p w14:paraId="06685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638" w:leftChars="304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学科交叉、交叉学科培养复合型创新型人才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的探索与实践</w:t>
      </w:r>
    </w:p>
    <w:p w14:paraId="5EA68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4.基础学科拔尖创新人才培养创新与实践</w:t>
      </w:r>
    </w:p>
    <w:p w14:paraId="0A5B6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638" w:leftChars="304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工程硕博士培养质量提升研究</w:t>
      </w:r>
    </w:p>
    <w:p w14:paraId="3FE5E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638" w:leftChars="30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本硕博贯通培养机制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改革与实践</w:t>
      </w:r>
      <w:r>
        <w:rPr>
          <w:rFonts w:hint="default" w:ascii="Times New Roman" w:hAnsi="Times New Roman" w:eastAsia="仿宋_GB2312" w:cs="Times New Roman"/>
          <w:sz w:val="32"/>
          <w:szCs w:val="32"/>
        </w:rPr>
        <w:cr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科教融汇、产教融合研究生培养模式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改革与探索</w:t>
      </w:r>
      <w:r>
        <w:rPr>
          <w:rFonts w:hint="default" w:ascii="Times New Roman" w:hAnsi="Times New Roman" w:eastAsia="黑体" w:cs="Times New Roman"/>
          <w:sz w:val="32"/>
          <w:szCs w:val="32"/>
        </w:rPr>
        <w:cr/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集成电路、量子科技、生物制造、新能源、新材料、低空经济等战略性产业领域交叉人才培养体系</w:t>
      </w:r>
    </w:p>
    <w:p w14:paraId="4DF71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638" w:leftChars="30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和谐研究生导学关系构建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探索与实践</w:t>
      </w:r>
      <w:r>
        <w:rPr>
          <w:rFonts w:hint="default" w:ascii="Times New Roman" w:hAnsi="Times New Roman" w:eastAsia="仿宋_GB2312" w:cs="Times New Roman"/>
          <w:sz w:val="32"/>
          <w:szCs w:val="32"/>
        </w:rPr>
        <w:cr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10.专业学位研究生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实践成果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评价机制改革与实践</w:t>
      </w:r>
    </w:p>
    <w:p w14:paraId="17895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638" w:leftChars="304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研究生课程教学质量评价标准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改革与探索</w:t>
      </w:r>
      <w:r>
        <w:rPr>
          <w:rFonts w:hint="default" w:ascii="Times New Roman" w:hAnsi="Times New Roman" w:eastAsia="仿宋_GB2312" w:cs="Times New Roman"/>
          <w:sz w:val="32"/>
          <w:szCs w:val="32"/>
        </w:rPr>
        <w:cr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学术学位研究生学术论文评价标准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改革与探索</w:t>
      </w:r>
      <w:r>
        <w:rPr>
          <w:rFonts w:hint="default" w:ascii="Times New Roman" w:hAnsi="Times New Roman" w:eastAsia="仿宋_GB2312" w:cs="Times New Roman"/>
          <w:sz w:val="32"/>
          <w:szCs w:val="32"/>
        </w:rPr>
        <w:cr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研究生学术文化、学术规范、学术道德、学风建设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cr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研究生党建、课程思政融入人才培养全过程研究</w:t>
      </w:r>
      <w:r>
        <w:rPr>
          <w:rFonts w:hint="default" w:ascii="Times New Roman" w:hAnsi="Times New Roman" w:eastAsia="黑体" w:cs="Times New Roman"/>
          <w:sz w:val="32"/>
          <w:szCs w:val="32"/>
        </w:rPr>
        <w:cr/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来华留学研究生培养质量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提升改革与探索</w:t>
      </w:r>
    </w:p>
    <w:p w14:paraId="7FAB2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1A68FA-C17B-485A-A6D5-39E368FA1A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8735073C-A022-47BC-B59B-F7A8C5F98B5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C04E6E6-B126-4F43-937B-D02EBD3AD71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4FB5F3B-EE79-4826-B27D-664CDD0DE1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Y2I4ODUwNTI5ZmIxYjMxNDIzODhmOWFmMTI3ODYifQ=="/>
  </w:docVars>
  <w:rsids>
    <w:rsidRoot w:val="56982CB9"/>
    <w:rsid w:val="5698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2024-11-20T03:04:00Z</dcterms:created>
  <dc:creator>酷炫辣鸡腿</dc:creator>
  <cp:lastModifiedBy>酷炫辣鸡腿</cp:lastModifiedBy>
  <dcterms:modified xsi:type="dcterms:W3CDTF">2024-11-20T03:06:34Z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21BC9FD336224D0DB36B7A84CE97FCA7_11</vt:lpwstr>
  </property>
</Properties>
</file>